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sectPr>
          <w:headerReference r:id="rId3" w:type="default"/>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5516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二〇二〇年八月</w:t>
                  </w:r>
                </w:p>
              </w:txbxContent>
            </v:textbox>
          </v:shape>
        </w:pict>
      </w:r>
      <w:r>
        <w:pict>
          <v:shape id="椭圆 8" o:spid="_x0000_s1051" o:spt="3" type="#_x0000_t3" style="position:absolute;left:0pt;margin-left:53.5pt;margin-top:232.45pt;height:121.95pt;width:121.95pt;z-index:25165209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5721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5312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pict>
          <v:group id="_x0000_s1043" o:spid="_x0000_s1043" o:spt="203" style="position:absolute;left:0pt;margin-left:-80.3pt;margin-top:111.25pt;height:69.6pt;width:600.25pt;z-index:-251666432;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highlight w:val="yellow"/>
          <w:lang w:eastAsia="zh-CN"/>
        </w:rPr>
      </w:pPr>
      <w:r>
        <w:rPr>
          <w:rFonts w:hint="eastAsia" w:ascii="楷体_GB2312" w:hAnsi="楷体_GB2312" w:eastAsia="楷体_GB2312" w:cs="楷体_GB2312"/>
          <w:color w:val="000000" w:themeColor="text1"/>
          <w:kern w:val="0"/>
          <w:sz w:val="44"/>
          <w:szCs w:val="44"/>
          <w:highlight w:val="none"/>
          <w:lang w:eastAsia="zh-CN"/>
        </w:rPr>
        <w:t>阜城县纪律检查委员会</w:t>
      </w:r>
    </w:p>
    <w:p>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二〇二〇年八月</w:t>
      </w:r>
    </w:p>
    <w:p>
      <w:pPr>
        <w:widowControl/>
        <w:spacing w:line="600" w:lineRule="exact"/>
        <w:jc w:val="left"/>
        <w:rPr>
          <w:rFonts w:ascii="黑体" w:hAnsi="黑体" w:eastAsia="黑体" w:cs="黑体"/>
          <w:bCs/>
          <w:sz w:val="32"/>
          <w:szCs w:val="32"/>
          <w:highlight w:val="yellow"/>
        </w:rPr>
      </w:pPr>
    </w:p>
    <w:p>
      <w:pPr>
        <w:widowControl/>
        <w:spacing w:line="600" w:lineRule="exact"/>
        <w:jc w:val="left"/>
        <w:rPr>
          <w:rFonts w:hint="eastAsia" w:ascii="黑体" w:hAnsi="黑体" w:eastAsia="黑体" w:cs="黑体"/>
          <w:bCs/>
          <w:sz w:val="32"/>
          <w:szCs w:val="32"/>
          <w:highlight w:val="yellow"/>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5"/>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
        <w:spacing w:before="0" w:after="0" w:line="600" w:lineRule="exact"/>
        <w:jc w:val="left"/>
        <w:rPr>
          <w:rFonts w:hint="eastAsia" w:ascii="仿宋_GB2312" w:eastAsia="仿宋_GB2312"/>
          <w:color w:val="auto"/>
          <w:spacing w:val="0"/>
          <w:kern w:val="0"/>
          <w:sz w:val="32"/>
          <w:szCs w:val="32"/>
        </w:rPr>
      </w:pPr>
      <w:r>
        <w:rPr>
          <w:b w:val="0"/>
          <w:bCs w:val="0"/>
          <w:sz w:val="32"/>
          <w:szCs w:val="32"/>
        </w:rPr>
        <w:pict>
          <v:group id="_x0000_s1052" o:spid="_x0000_s1052" o:spt="203" style="position:absolute;left:0pt;margin-left:-80.8pt;margin-top:39.5pt;height:46.7pt;width:245.25pt;mso-position-vertical-relative:page;z-index:251653120;mso-width-relative:page;mso-height-relative:page;" coordorigin="4551,52615" coordsize="8546,1398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1053" o:spid="_x0000_s1053" o:spt="1" style="position:absolute;left:4551;top:52615;height:1175;width:8546;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1054" o:spid="_x0000_s1054"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b w:val="0"/>
          <w:bCs w:val="0"/>
          <w:sz w:val="32"/>
          <w:szCs w:val="32"/>
          <w:lang w:val="en-US" w:eastAsia="zh-CN"/>
        </w:rPr>
        <w:t xml:space="preserve">    </w:t>
      </w:r>
      <w:r>
        <w:rPr>
          <w:rFonts w:hint="eastAsia" w:ascii="仿宋_GB2312" w:eastAsia="仿宋_GB2312" w:hAnsiTheme="minorHAnsi" w:cstheme="minorBidi"/>
          <w:b w:val="0"/>
          <w:bCs w:val="0"/>
          <w:color w:val="auto"/>
          <w:spacing w:val="0"/>
          <w:kern w:val="0"/>
          <w:sz w:val="32"/>
          <w:szCs w:val="32"/>
          <w:lang w:val="en-US" w:eastAsia="zh-CN" w:bidi="ar-SA"/>
        </w:rP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pacing w:val="0"/>
          <w:kern w:val="0"/>
          <w:sz w:val="32"/>
          <w:szCs w:val="32"/>
        </w:rPr>
      </w:pPr>
      <w:r>
        <w:rPr>
          <w:rFonts w:hint="eastAsia" w:ascii="仿宋_GB2312" w:eastAsia="仿宋_GB2312"/>
          <w:color w:val="auto"/>
          <w:spacing w:val="0"/>
          <w:kern w:val="0"/>
          <w:sz w:val="32"/>
          <w:szCs w:val="32"/>
        </w:rPr>
        <w:t>（二）依照党的章程和其他党内法规履行监督、执纪、问责职责。负责经常对党员进行遵守纪律的教育，作出关于维护党纪的决定；对</w:t>
      </w:r>
      <w:r>
        <w:rPr>
          <w:rFonts w:hint="eastAsia" w:ascii="仿宋_GB2312" w:eastAsia="仿宋_GB2312"/>
          <w:color w:val="auto"/>
          <w:spacing w:val="0"/>
          <w:kern w:val="0"/>
          <w:sz w:val="32"/>
          <w:szCs w:val="32"/>
          <w:lang w:eastAsia="zh-CN"/>
        </w:rPr>
        <w:t>县委工作机关</w:t>
      </w:r>
      <w:r>
        <w:rPr>
          <w:rFonts w:hint="eastAsia" w:ascii="仿宋_GB2312" w:eastAsia="仿宋_GB2312"/>
          <w:color w:val="auto"/>
          <w:spacing w:val="0"/>
          <w:kern w:val="0"/>
          <w:sz w:val="32"/>
          <w:szCs w:val="32"/>
        </w:rPr>
        <w:t>、</w:t>
      </w:r>
      <w:r>
        <w:rPr>
          <w:rFonts w:hint="eastAsia" w:ascii="仿宋_GB2312" w:eastAsia="仿宋_GB2312"/>
          <w:color w:val="auto"/>
          <w:spacing w:val="0"/>
          <w:kern w:val="0"/>
          <w:sz w:val="32"/>
          <w:szCs w:val="32"/>
          <w:lang w:eastAsia="zh-CN"/>
        </w:rPr>
        <w:t>县委</w:t>
      </w:r>
      <w:r>
        <w:rPr>
          <w:rFonts w:hint="eastAsia" w:ascii="仿宋_GB2312" w:eastAsia="仿宋_GB2312"/>
          <w:color w:val="auto"/>
          <w:spacing w:val="0"/>
          <w:kern w:val="0"/>
          <w:sz w:val="32"/>
          <w:szCs w:val="32"/>
        </w:rPr>
        <w:t>批准设立的党组（党委），</w:t>
      </w:r>
      <w:r>
        <w:rPr>
          <w:rFonts w:hint="eastAsia" w:ascii="仿宋_GB2312" w:eastAsia="仿宋_GB2312"/>
          <w:color w:val="auto"/>
          <w:spacing w:val="0"/>
          <w:kern w:val="0"/>
          <w:sz w:val="32"/>
          <w:szCs w:val="32"/>
          <w:lang w:eastAsia="zh-CN"/>
        </w:rPr>
        <w:t>各乡镇</w:t>
      </w:r>
      <w:r>
        <w:rPr>
          <w:rFonts w:hint="eastAsia" w:ascii="仿宋_GB2312" w:eastAsia="仿宋_GB2312"/>
          <w:color w:val="auto"/>
          <w:spacing w:val="0"/>
          <w:kern w:val="0"/>
          <w:sz w:val="32"/>
          <w:szCs w:val="32"/>
        </w:rPr>
        <w:t>党委、纪委等党的组织和</w:t>
      </w:r>
      <w:r>
        <w:rPr>
          <w:rFonts w:hint="eastAsia" w:ascii="仿宋_GB2312" w:eastAsia="仿宋_GB2312"/>
          <w:color w:val="auto"/>
          <w:spacing w:val="0"/>
          <w:kern w:val="0"/>
          <w:sz w:val="32"/>
          <w:szCs w:val="32"/>
          <w:lang w:eastAsia="zh-CN"/>
        </w:rPr>
        <w:t>县委</w:t>
      </w:r>
      <w:r>
        <w:rPr>
          <w:rFonts w:hint="eastAsia" w:ascii="仿宋_GB2312" w:eastAsia="仿宋_GB2312"/>
          <w:color w:val="auto"/>
          <w:spacing w:val="0"/>
          <w:kern w:val="0"/>
          <w:sz w:val="32"/>
          <w:szCs w:val="32"/>
        </w:rPr>
        <w:t>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pacing w:val="0"/>
          <w:kern w:val="0"/>
          <w:sz w:val="32"/>
          <w:szCs w:val="32"/>
          <w:lang w:eastAsia="zh-CN"/>
        </w:rPr>
      </w:pPr>
      <w:r>
        <w:rPr>
          <w:rFonts w:hint="eastAsia" w:ascii="仿宋_GB2312" w:eastAsia="仿宋_GB2312"/>
          <w:color w:val="auto"/>
          <w:spacing w:val="0"/>
          <w:kern w:val="0"/>
          <w:sz w:val="32"/>
          <w:szCs w:val="32"/>
        </w:rPr>
        <w:t>（三）</w:t>
      </w:r>
      <w:r>
        <w:rPr>
          <w:rFonts w:hint="eastAsia" w:ascii="仿宋_GB2312" w:eastAsia="仿宋_GB2312"/>
          <w:color w:val="auto"/>
          <w:spacing w:val="0"/>
          <w:kern w:val="0"/>
          <w:sz w:val="32"/>
          <w:szCs w:val="32"/>
          <w:lang w:eastAsia="zh-CN"/>
        </w:rPr>
        <w:t>支持配合巡视巡察工作</w:t>
      </w:r>
      <w:r>
        <w:rPr>
          <w:rFonts w:hint="eastAsia" w:ascii="仿宋_GB2312" w:eastAsia="仿宋_GB2312"/>
          <w:color w:val="auto"/>
          <w:spacing w:val="0"/>
          <w:kern w:val="0"/>
          <w:sz w:val="32"/>
          <w:szCs w:val="32"/>
        </w:rPr>
        <w:t>。</w:t>
      </w:r>
      <w:r>
        <w:rPr>
          <w:rFonts w:hint="eastAsia" w:ascii="仿宋_GB2312" w:eastAsia="仿宋_GB2312"/>
          <w:color w:val="auto"/>
          <w:spacing w:val="0"/>
          <w:kern w:val="0"/>
          <w:sz w:val="32"/>
          <w:szCs w:val="32"/>
          <w:lang w:eastAsia="zh-CN"/>
        </w:rPr>
        <w:t>承担巡视巡察整改日常监督责任，做好巡视巡察整改督查督办工作，依规依纪依法处置巡视巡察移交的反映领导干部问题线索。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pacing w:val="0"/>
          <w:kern w:val="0"/>
          <w:sz w:val="32"/>
          <w:szCs w:val="32"/>
        </w:rPr>
      </w:pPr>
      <w:r>
        <w:rPr>
          <w:rFonts w:hint="eastAsia" w:ascii="仿宋_GB2312" w:eastAsia="仿宋_GB2312"/>
          <w:color w:val="auto"/>
          <w:spacing w:val="0"/>
          <w:kern w:val="0"/>
          <w:sz w:val="32"/>
          <w:szCs w:val="32"/>
        </w:rPr>
        <w:t>（四）负责全</w:t>
      </w:r>
      <w:r>
        <w:rPr>
          <w:rFonts w:hint="eastAsia" w:ascii="仿宋_GB2312" w:eastAsia="仿宋_GB2312"/>
          <w:color w:val="auto"/>
          <w:spacing w:val="0"/>
          <w:kern w:val="0"/>
          <w:sz w:val="32"/>
          <w:szCs w:val="32"/>
          <w:lang w:eastAsia="zh-CN"/>
        </w:rPr>
        <w:t>县</w:t>
      </w:r>
      <w:r>
        <w:rPr>
          <w:rFonts w:hint="eastAsia" w:ascii="仿宋_GB2312" w:eastAsia="仿宋_GB2312"/>
          <w:color w:val="auto"/>
          <w:spacing w:val="0"/>
          <w:kern w:val="0"/>
          <w:sz w:val="32"/>
          <w:szCs w:val="32"/>
        </w:rPr>
        <w:t>监察工作。贯彻落实党中央</w:t>
      </w:r>
      <w:r>
        <w:rPr>
          <w:rFonts w:hint="eastAsia" w:ascii="仿宋_GB2312" w:eastAsia="仿宋_GB2312"/>
          <w:color w:val="auto"/>
          <w:spacing w:val="0"/>
          <w:kern w:val="0"/>
          <w:sz w:val="32"/>
          <w:szCs w:val="32"/>
          <w:lang w:eastAsia="zh-CN"/>
        </w:rPr>
        <w:t>、省委、市委、县委</w:t>
      </w:r>
      <w:r>
        <w:rPr>
          <w:rFonts w:hint="eastAsia" w:ascii="仿宋_GB2312" w:eastAsia="仿宋_GB2312"/>
          <w:color w:val="auto"/>
          <w:spacing w:val="0"/>
          <w:kern w:val="0"/>
          <w:sz w:val="32"/>
          <w:szCs w:val="32"/>
        </w:rPr>
        <w:t>关于监察工作的</w:t>
      </w:r>
      <w:r>
        <w:rPr>
          <w:rFonts w:hint="eastAsia" w:ascii="仿宋_GB2312" w:eastAsia="仿宋_GB2312"/>
          <w:color w:val="auto"/>
          <w:spacing w:val="0"/>
          <w:kern w:val="0"/>
          <w:sz w:val="32"/>
          <w:szCs w:val="32"/>
          <w:lang w:eastAsia="zh-CN"/>
        </w:rPr>
        <w:t>决策部署</w:t>
      </w:r>
      <w:r>
        <w:rPr>
          <w:rFonts w:hint="eastAsia" w:ascii="仿宋_GB2312" w:eastAsia="仿宋_GB2312"/>
          <w:color w:val="auto"/>
          <w:spacing w:val="0"/>
          <w:kern w:val="0"/>
          <w:sz w:val="32"/>
          <w:szCs w:val="32"/>
        </w:rPr>
        <w:t>，维护宪法法律，依法对</w:t>
      </w:r>
      <w:r>
        <w:rPr>
          <w:rFonts w:hint="eastAsia" w:ascii="仿宋_GB2312" w:eastAsia="仿宋_GB2312"/>
          <w:color w:val="auto"/>
          <w:spacing w:val="0"/>
          <w:kern w:val="0"/>
          <w:sz w:val="32"/>
          <w:szCs w:val="32"/>
          <w:lang w:eastAsia="zh-CN"/>
        </w:rPr>
        <w:t>县委</w:t>
      </w:r>
      <w:r>
        <w:rPr>
          <w:rFonts w:hint="eastAsia" w:ascii="仿宋_GB2312" w:eastAsia="仿宋_GB2312"/>
          <w:color w:val="auto"/>
          <w:spacing w:val="0"/>
          <w:kern w:val="0"/>
          <w:sz w:val="32"/>
          <w:szCs w:val="32"/>
        </w:rPr>
        <w:t>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0"/>
          <w:kern w:val="0"/>
          <w:sz w:val="32"/>
          <w:szCs w:val="32"/>
        </w:rPr>
      </w:pPr>
      <w:r>
        <w:rPr>
          <w:rFonts w:hint="eastAsia" w:ascii="仿宋_GB2312" w:eastAsia="仿宋_GB2312"/>
          <w:spacing w:val="0"/>
          <w:kern w:val="0"/>
          <w:sz w:val="32"/>
          <w:szCs w:val="32"/>
        </w:rPr>
        <w:t>（五）依照法律规定履行监督、调查、处置职责。推动开展廉政教育，</w:t>
      </w:r>
      <w:r>
        <w:rPr>
          <w:rFonts w:hint="eastAsia" w:ascii="仿宋_GB2312" w:eastAsia="仿宋_GB2312"/>
          <w:color w:val="auto"/>
          <w:spacing w:val="0"/>
          <w:kern w:val="0"/>
          <w:sz w:val="32"/>
          <w:szCs w:val="32"/>
        </w:rPr>
        <w:t>对</w:t>
      </w:r>
      <w:r>
        <w:rPr>
          <w:rFonts w:hint="eastAsia" w:ascii="仿宋_GB2312" w:eastAsia="仿宋_GB2312"/>
          <w:color w:val="auto"/>
          <w:spacing w:val="0"/>
          <w:kern w:val="0"/>
          <w:sz w:val="32"/>
          <w:szCs w:val="32"/>
          <w:lang w:eastAsia="zh-CN"/>
        </w:rPr>
        <w:t>县委</w:t>
      </w:r>
      <w:r>
        <w:rPr>
          <w:rFonts w:hint="eastAsia" w:ascii="仿宋_GB2312" w:eastAsia="仿宋_GB2312"/>
          <w:color w:val="auto"/>
          <w:spacing w:val="0"/>
          <w:kern w:val="0"/>
          <w:sz w:val="32"/>
          <w:szCs w:val="32"/>
        </w:rPr>
        <w:t>管理的行使公权力的公职人员依法履职、秉公用权、廉洁从政从业以及道德操守情况进行监督检查；对涉嫌贪污贿赂、滥</w:t>
      </w:r>
      <w:r>
        <w:rPr>
          <w:rFonts w:hint="eastAsia" w:ascii="仿宋_GB2312" w:eastAsia="仿宋_GB2312"/>
          <w:spacing w:val="0"/>
          <w:kern w:val="0"/>
          <w:sz w:val="32"/>
          <w:szCs w:val="32"/>
        </w:rPr>
        <w:t>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0"/>
          <w:kern w:val="0"/>
          <w:sz w:val="32"/>
          <w:szCs w:val="32"/>
        </w:rPr>
      </w:pPr>
      <w:r>
        <w:rPr>
          <w:rFonts w:hint="eastAsia" w:ascii="仿宋_GB2312" w:eastAsia="仿宋_GB2312"/>
          <w:spacing w:val="0"/>
          <w:kern w:val="0"/>
          <w:sz w:val="32"/>
          <w:szCs w:val="32"/>
        </w:rPr>
        <w:t>（六）负责组织协调全面从严治党、党风廉政建设和反腐败宣传教育工作。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pacing w:val="0"/>
          <w:kern w:val="0"/>
          <w:sz w:val="32"/>
          <w:szCs w:val="32"/>
        </w:rPr>
      </w:pPr>
      <w:r>
        <w:rPr>
          <w:rFonts w:hint="eastAsia" w:ascii="仿宋_GB2312" w:eastAsia="仿宋_GB2312"/>
          <w:color w:val="auto"/>
          <w:spacing w:val="0"/>
          <w:kern w:val="0"/>
          <w:sz w:val="32"/>
          <w:szCs w:val="32"/>
        </w:rPr>
        <w:t>（七）负责综合分析全面从严治党、党风廉政建设和反腐败工作情况，对纪检监察工作重要理论及实践问题进行调查研究；参与起草</w:t>
      </w:r>
      <w:r>
        <w:rPr>
          <w:rFonts w:hint="eastAsia" w:ascii="仿宋_GB2312" w:eastAsia="仿宋_GB2312"/>
          <w:color w:val="auto"/>
          <w:spacing w:val="0"/>
          <w:kern w:val="0"/>
          <w:sz w:val="32"/>
          <w:szCs w:val="32"/>
          <w:lang w:eastAsia="zh-CN"/>
        </w:rPr>
        <w:t>修订有关</w:t>
      </w:r>
      <w:r>
        <w:rPr>
          <w:rFonts w:hint="eastAsia" w:ascii="仿宋_GB2312" w:eastAsia="仿宋_GB2312"/>
          <w:color w:val="auto"/>
          <w:spacing w:val="0"/>
          <w:kern w:val="0"/>
          <w:sz w:val="32"/>
          <w:szCs w:val="32"/>
        </w:rPr>
        <w:t>法律</w:t>
      </w:r>
      <w:r>
        <w:rPr>
          <w:rFonts w:hint="eastAsia" w:ascii="仿宋_GB2312" w:eastAsia="仿宋_GB2312"/>
          <w:color w:val="auto"/>
          <w:spacing w:val="0"/>
          <w:kern w:val="0"/>
          <w:sz w:val="32"/>
          <w:szCs w:val="32"/>
          <w:lang w:eastAsia="zh-CN"/>
        </w:rPr>
        <w:t>、</w:t>
      </w:r>
      <w:r>
        <w:rPr>
          <w:rFonts w:hint="eastAsia" w:ascii="仿宋_GB2312" w:eastAsia="仿宋_GB2312"/>
          <w:color w:val="auto"/>
          <w:spacing w:val="0"/>
          <w:kern w:val="0"/>
          <w:sz w:val="32"/>
          <w:szCs w:val="32"/>
        </w:rPr>
        <w:t>法规和</w:t>
      </w:r>
      <w:r>
        <w:rPr>
          <w:rFonts w:hint="eastAsia" w:ascii="仿宋_GB2312" w:eastAsia="仿宋_GB2312"/>
          <w:color w:val="auto"/>
          <w:spacing w:val="0"/>
          <w:kern w:val="0"/>
          <w:sz w:val="32"/>
          <w:szCs w:val="32"/>
          <w:lang w:eastAsia="zh-CN"/>
        </w:rPr>
        <w:t>规范性文件</w:t>
      </w:r>
      <w:r>
        <w:rPr>
          <w:rFonts w:hint="eastAsia" w:ascii="仿宋_GB2312" w:eastAsia="仿宋_GB2312"/>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0"/>
          <w:kern w:val="0"/>
          <w:sz w:val="32"/>
          <w:szCs w:val="32"/>
        </w:rPr>
      </w:pPr>
      <w:r>
        <w:rPr>
          <w:rFonts w:hint="eastAsia" w:ascii="仿宋_GB2312" w:eastAsia="仿宋_GB2312"/>
          <w:spacing w:val="0"/>
          <w:kern w:val="0"/>
          <w:sz w:val="32"/>
          <w:szCs w:val="32"/>
        </w:rPr>
        <w:t>（八）</w:t>
      </w:r>
      <w:r>
        <w:rPr>
          <w:rFonts w:hint="eastAsia" w:ascii="仿宋_GB2312" w:eastAsia="仿宋_GB2312"/>
          <w:color w:val="auto"/>
          <w:spacing w:val="0"/>
          <w:kern w:val="0"/>
          <w:sz w:val="32"/>
          <w:szCs w:val="32"/>
          <w:lang w:eastAsia="zh-CN"/>
        </w:rPr>
        <w:t>负责</w:t>
      </w:r>
      <w:r>
        <w:rPr>
          <w:rFonts w:hint="eastAsia" w:ascii="仿宋_GB2312" w:eastAsia="仿宋_GB2312"/>
          <w:color w:val="auto"/>
          <w:spacing w:val="0"/>
          <w:kern w:val="0"/>
          <w:sz w:val="32"/>
          <w:szCs w:val="32"/>
        </w:rPr>
        <w:t>组织协调</w:t>
      </w:r>
      <w:r>
        <w:rPr>
          <w:rFonts w:hint="eastAsia" w:ascii="仿宋_GB2312" w:eastAsia="仿宋_GB2312"/>
          <w:color w:val="auto"/>
          <w:spacing w:val="0"/>
          <w:kern w:val="0"/>
          <w:sz w:val="32"/>
          <w:szCs w:val="32"/>
          <w:lang w:eastAsia="zh-CN"/>
        </w:rPr>
        <w:t>全县</w:t>
      </w:r>
      <w:r>
        <w:rPr>
          <w:rFonts w:hint="eastAsia" w:ascii="仿宋_GB2312" w:eastAsia="仿宋_GB2312"/>
          <w:color w:val="auto"/>
          <w:spacing w:val="0"/>
          <w:kern w:val="0"/>
          <w:sz w:val="32"/>
          <w:szCs w:val="32"/>
        </w:rPr>
        <w:t>反腐败追逃追赃和防逃工作，督促有关单位做好相关工作。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0"/>
          <w:kern w:val="0"/>
          <w:sz w:val="32"/>
          <w:szCs w:val="32"/>
        </w:rPr>
      </w:pPr>
      <w:r>
        <w:rPr>
          <w:rFonts w:hint="eastAsia" w:ascii="仿宋_GB2312" w:eastAsia="仿宋_GB2312"/>
          <w:spacing w:val="0"/>
          <w:kern w:val="0"/>
          <w:sz w:val="32"/>
          <w:szCs w:val="32"/>
        </w:rPr>
        <w:t>（九）</w:t>
      </w:r>
      <w:r>
        <w:rPr>
          <w:rFonts w:hint="eastAsia" w:ascii="仿宋_GB2312" w:eastAsia="仿宋_GB2312"/>
          <w:color w:val="auto"/>
          <w:spacing w:val="0"/>
          <w:kern w:val="0"/>
          <w:sz w:val="32"/>
          <w:szCs w:val="32"/>
        </w:rPr>
        <w:t>根据干部管理权限，负责</w:t>
      </w:r>
      <w:r>
        <w:rPr>
          <w:rFonts w:hint="eastAsia" w:ascii="仿宋_GB2312" w:eastAsia="仿宋_GB2312"/>
          <w:color w:val="auto"/>
          <w:spacing w:val="0"/>
          <w:kern w:val="0"/>
          <w:sz w:val="32"/>
          <w:szCs w:val="32"/>
          <w:lang w:eastAsia="zh-CN"/>
        </w:rPr>
        <w:t>全县</w:t>
      </w:r>
      <w:r>
        <w:rPr>
          <w:rFonts w:hint="eastAsia" w:ascii="仿宋_GB2312" w:eastAsia="仿宋_GB2312"/>
          <w:color w:val="auto"/>
          <w:spacing w:val="0"/>
          <w:kern w:val="0"/>
          <w:sz w:val="32"/>
          <w:szCs w:val="32"/>
        </w:rPr>
        <w:t>纪检监察系统领导班子建设、干部队伍建设和组织建设的综合规划、政策研究、制度建设和业务指导；</w:t>
      </w:r>
      <w:r>
        <w:rPr>
          <w:rFonts w:hint="eastAsia" w:ascii="仿宋_GB2312" w:hAnsi="仿宋" w:eastAsia="仿宋_GB2312"/>
          <w:color w:val="auto"/>
          <w:sz w:val="32"/>
          <w:szCs w:val="32"/>
          <w:lang w:eastAsia="zh-CN"/>
        </w:rPr>
        <w:t>会同县委组织部负责县</w:t>
      </w:r>
      <w:r>
        <w:rPr>
          <w:rFonts w:hint="eastAsia" w:ascii="仿宋_GB2312" w:hAnsi="仿宋" w:eastAsia="仿宋_GB2312"/>
          <w:color w:val="auto"/>
          <w:sz w:val="32"/>
          <w:szCs w:val="32"/>
        </w:rPr>
        <w:t>委</w:t>
      </w:r>
      <w:r>
        <w:rPr>
          <w:rFonts w:hint="eastAsia" w:ascii="仿宋_GB2312" w:hAnsi="仿宋" w:eastAsia="仿宋_GB2312"/>
          <w:color w:val="auto"/>
          <w:sz w:val="32"/>
          <w:szCs w:val="32"/>
          <w:lang w:eastAsia="zh-CN"/>
        </w:rPr>
        <w:t>巡察</w:t>
      </w:r>
      <w:r>
        <w:rPr>
          <w:rFonts w:hint="eastAsia" w:ascii="仿宋_GB2312" w:hAnsi="仿宋" w:eastAsia="仿宋_GB2312"/>
          <w:color w:val="auto"/>
          <w:sz w:val="32"/>
          <w:szCs w:val="32"/>
        </w:rPr>
        <w:t>办</w:t>
      </w:r>
      <w:r>
        <w:rPr>
          <w:rFonts w:hint="eastAsia" w:ascii="仿宋_GB2312" w:hAnsi="仿宋" w:eastAsia="仿宋_GB2312"/>
          <w:color w:val="auto"/>
          <w:sz w:val="32"/>
          <w:szCs w:val="32"/>
          <w:lang w:eastAsia="zh-CN"/>
        </w:rPr>
        <w:t>的科级干部提名、考察，报县委任免；根据干部管理权限负责县委巡察办科级及以下干部人事工作</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color w:val="auto"/>
          <w:spacing w:val="0"/>
          <w:kern w:val="0"/>
          <w:sz w:val="32"/>
          <w:szCs w:val="32"/>
        </w:rPr>
        <w:t>会同有关方面做好</w:t>
      </w:r>
      <w:r>
        <w:rPr>
          <w:rFonts w:hint="eastAsia" w:ascii="仿宋_GB2312" w:eastAsia="仿宋_GB2312"/>
          <w:color w:val="auto"/>
          <w:spacing w:val="0"/>
          <w:kern w:val="0"/>
          <w:sz w:val="32"/>
          <w:szCs w:val="32"/>
          <w:lang w:eastAsia="zh-CN"/>
        </w:rPr>
        <w:t>县纪委监委</w:t>
      </w:r>
      <w:r>
        <w:rPr>
          <w:rFonts w:hint="eastAsia" w:ascii="仿宋_GB2312" w:eastAsia="仿宋_GB2312"/>
          <w:color w:val="auto"/>
          <w:spacing w:val="0"/>
          <w:kern w:val="0"/>
          <w:sz w:val="32"/>
          <w:szCs w:val="32"/>
        </w:rPr>
        <w:t>派驻机构</w:t>
      </w:r>
      <w:r>
        <w:rPr>
          <w:rFonts w:hint="eastAsia" w:ascii="仿宋_GB2312" w:eastAsia="仿宋_GB2312"/>
          <w:color w:val="auto"/>
          <w:spacing w:val="0"/>
          <w:kern w:val="0"/>
          <w:sz w:val="32"/>
          <w:szCs w:val="32"/>
          <w:lang w:eastAsia="zh-CN"/>
        </w:rPr>
        <w:t>、乡镇纪检监察组织等</w:t>
      </w:r>
      <w:r>
        <w:rPr>
          <w:rFonts w:hint="eastAsia" w:ascii="仿宋_GB2312" w:eastAsia="仿宋_GB2312"/>
          <w:color w:val="auto"/>
          <w:spacing w:val="0"/>
          <w:kern w:val="0"/>
          <w:sz w:val="32"/>
          <w:szCs w:val="32"/>
        </w:rPr>
        <w:t>纪检监察机构领导班子建设有关工作；组织和指导</w:t>
      </w:r>
      <w:r>
        <w:rPr>
          <w:rFonts w:hint="eastAsia" w:ascii="仿宋_GB2312" w:eastAsia="仿宋_GB2312"/>
          <w:color w:val="auto"/>
          <w:spacing w:val="0"/>
          <w:kern w:val="0"/>
          <w:sz w:val="32"/>
          <w:szCs w:val="32"/>
          <w:lang w:eastAsia="zh-CN"/>
        </w:rPr>
        <w:t>全县</w:t>
      </w:r>
      <w:r>
        <w:rPr>
          <w:rFonts w:hint="eastAsia" w:ascii="仿宋_GB2312" w:eastAsia="仿宋_GB2312"/>
          <w:color w:val="auto"/>
          <w:spacing w:val="0"/>
          <w:kern w:val="0"/>
          <w:sz w:val="32"/>
          <w:szCs w:val="32"/>
        </w:rPr>
        <w:t>纪检监察系统干部教育培训工作等。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0"/>
          <w:kern w:val="0"/>
          <w:sz w:val="32"/>
          <w:szCs w:val="32"/>
        </w:rPr>
      </w:pPr>
      <w:r>
        <w:rPr>
          <w:rFonts w:hint="eastAsia" w:ascii="仿宋_GB2312" w:eastAsia="仿宋_GB2312"/>
          <w:spacing w:val="0"/>
          <w:kern w:val="0"/>
          <w:sz w:val="32"/>
          <w:szCs w:val="32"/>
        </w:rPr>
        <w:t>（十）</w:t>
      </w:r>
      <w:r>
        <w:rPr>
          <w:rFonts w:hint="eastAsia" w:ascii="仿宋_GB2312" w:eastAsia="仿宋_GB2312"/>
          <w:color w:val="auto"/>
          <w:spacing w:val="0"/>
          <w:kern w:val="0"/>
          <w:sz w:val="32"/>
          <w:szCs w:val="32"/>
        </w:rPr>
        <w:t>完成</w:t>
      </w:r>
      <w:r>
        <w:rPr>
          <w:rFonts w:hint="eastAsia" w:ascii="仿宋_GB2312" w:eastAsia="仿宋_GB2312"/>
          <w:color w:val="auto"/>
          <w:spacing w:val="0"/>
          <w:kern w:val="0"/>
          <w:sz w:val="32"/>
          <w:szCs w:val="32"/>
          <w:lang w:eastAsia="zh-CN"/>
        </w:rPr>
        <w:t>市纪委监委、县委</w:t>
      </w:r>
      <w:r>
        <w:rPr>
          <w:rFonts w:hint="eastAsia" w:ascii="仿宋_GB2312" w:eastAsia="仿宋_GB2312"/>
          <w:color w:val="auto"/>
          <w:spacing w:val="0"/>
          <w:kern w:val="0"/>
          <w:sz w:val="32"/>
          <w:szCs w:val="32"/>
        </w:rPr>
        <w:t>交办的其他任务</w:t>
      </w:r>
      <w:r>
        <w:rPr>
          <w:rFonts w:hint="eastAsia" w:ascii="仿宋_GB2312" w:eastAsia="仿宋_GB2312"/>
          <w:spacing w:val="0"/>
          <w:kern w:val="0"/>
          <w:sz w:val="32"/>
          <w:szCs w:val="32"/>
        </w:rPr>
        <w:t>。</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b w:val="0"/>
          <w:bCs w:val="0"/>
          <w:kern w:val="0"/>
          <w:sz w:val="32"/>
          <w:szCs w:val="32"/>
          <w:lang w:val="en-US" w:eastAsia="zh-CN"/>
        </w:rPr>
        <w:t xml:space="preserve">    </w:t>
      </w: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kern w:val="0"/>
          <w:sz w:val="32"/>
          <w:szCs w:val="32"/>
          <w:lang w:val="en-US" w:eastAsia="zh-CN"/>
        </w:rPr>
        <w:t xml:space="preserve">    </w:t>
      </w:r>
      <w:r>
        <w:rPr>
          <w:rFonts w:hint="eastAsia" w:ascii="仿宋_GB2312" w:eastAsia="仿宋_GB2312" w:cs="ArialUnicodeMS" w:hAnsiTheme="minorHAnsi"/>
          <w:kern w:val="0"/>
          <w:sz w:val="32"/>
          <w:szCs w:val="32"/>
        </w:rPr>
        <w:t xml:space="preserve">从决算编报单位构成看，纳入2018 年度本部门决算汇编范围的独立核算单位（以下简称“单位”）共 </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 xml:space="preserve">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top"/>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top"/>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top"/>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top"/>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vAlign w:val="top"/>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中国共产党阜城县纪律检查委员会</w:t>
            </w:r>
          </w:p>
        </w:tc>
        <w:tc>
          <w:tcPr>
            <w:tcW w:w="2445" w:type="dxa"/>
            <w:vAlign w:val="top"/>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行政单位</w:t>
            </w:r>
          </w:p>
        </w:tc>
        <w:tc>
          <w:tcPr>
            <w:tcW w:w="2665" w:type="dxa"/>
            <w:vAlign w:val="top"/>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jc w:val="center"/>
              <w:outlineLvl w:val="0"/>
              <w:rPr>
                <w:rFonts w:ascii="仿宋" w:hAnsi="仿宋" w:eastAsia="仿宋"/>
                <w:b/>
                <w:sz w:val="28"/>
                <w:szCs w:val="28"/>
              </w:rPr>
            </w:pPr>
            <w:r>
              <w:rPr>
                <w:rFonts w:ascii="仿宋" w:hAnsi="仿宋" w:eastAsia="仿宋"/>
                <w:b/>
                <w:sz w:val="28"/>
                <w:szCs w:val="28"/>
              </w:rPr>
              <w:t>部门</w:t>
            </w:r>
            <w:r>
              <w:rPr>
                <w:rFonts w:hint="eastAsia" w:ascii="仿宋" w:hAnsi="仿宋" w:eastAsia="仿宋"/>
                <w:b/>
                <w:sz w:val="28"/>
                <w:szCs w:val="28"/>
              </w:rPr>
              <w:t>机构设置情况</w:t>
            </w:r>
          </w:p>
          <w:tbl>
            <w:tblPr>
              <w:tblStyle w:val="7"/>
              <w:tblW w:w="84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8"/>
              <w:gridCol w:w="1753"/>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3798" w:type="dxa"/>
                  <w:vMerge w:val="restart"/>
                  <w:vAlign w:val="center"/>
                </w:tcPr>
                <w:p>
                  <w:pPr>
                    <w:spacing w:line="300" w:lineRule="exact"/>
                    <w:jc w:val="center"/>
                    <w:rPr>
                      <w:rFonts w:eastAsia="方正书宋_GBK"/>
                      <w:b/>
                    </w:rPr>
                  </w:pPr>
                  <w:r>
                    <w:rPr>
                      <w:rFonts w:hint="eastAsia" w:ascii="仿宋_GB2312" w:eastAsia="仿宋_GB2312" w:cs="ArialUnicodeMS" w:hAnsiTheme="minorHAnsi"/>
                      <w:b/>
                      <w:bCs/>
                      <w:kern w:val="0"/>
                      <w:sz w:val="28"/>
                      <w:szCs w:val="28"/>
                    </w:rPr>
                    <w:t>单位名称</w:t>
                  </w:r>
                </w:p>
              </w:tc>
              <w:tc>
                <w:tcPr>
                  <w:tcW w:w="1753" w:type="dxa"/>
                  <w:vMerge w:val="restart"/>
                  <w:vAlign w:val="center"/>
                </w:tcPr>
                <w:p>
                  <w:pPr>
                    <w:spacing w:line="300" w:lineRule="exact"/>
                    <w:jc w:val="center"/>
                    <w:rPr>
                      <w:rFonts w:eastAsia="方正书宋_GBK"/>
                      <w:b/>
                    </w:rPr>
                  </w:pPr>
                  <w:r>
                    <w:rPr>
                      <w:rFonts w:hint="eastAsia" w:ascii="仿宋_GB2312" w:eastAsia="仿宋_GB2312" w:cs="ArialUnicodeMS" w:hAnsiTheme="minorHAnsi"/>
                      <w:b/>
                      <w:bCs/>
                      <w:kern w:val="0"/>
                      <w:sz w:val="28"/>
                      <w:szCs w:val="28"/>
                    </w:rPr>
                    <w:t>单位性质</w:t>
                  </w:r>
                </w:p>
              </w:tc>
              <w:tc>
                <w:tcPr>
                  <w:tcW w:w="2902" w:type="dxa"/>
                  <w:vMerge w:val="restart"/>
                  <w:vAlign w:val="center"/>
                </w:tcPr>
                <w:p>
                  <w:pPr>
                    <w:spacing w:line="300" w:lineRule="exact"/>
                    <w:jc w:val="center"/>
                    <w:rPr>
                      <w:rFonts w:eastAsia="方正书宋_GBK"/>
                      <w:b/>
                    </w:rPr>
                  </w:pPr>
                  <w:r>
                    <w:rPr>
                      <w:rFonts w:hint="eastAsia" w:ascii="仿宋_GB2312" w:eastAsia="仿宋_GB2312" w:cs="ArialUnicodeMS" w:hAnsiTheme="minorHAnsi"/>
                      <w:b/>
                      <w:bCs/>
                      <w:kern w:val="0"/>
                      <w:sz w:val="28"/>
                      <w:szCs w:val="28"/>
                    </w:rPr>
                    <w:t>经费形式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3798" w:type="dxa"/>
                  <w:vMerge w:val="continue"/>
                  <w:vAlign w:val="center"/>
                </w:tcPr>
                <w:p>
                  <w:pPr>
                    <w:spacing w:line="300" w:lineRule="exact"/>
                    <w:outlineLvl w:val="0"/>
                  </w:pPr>
                </w:p>
              </w:tc>
              <w:tc>
                <w:tcPr>
                  <w:tcW w:w="1753" w:type="dxa"/>
                  <w:vMerge w:val="continue"/>
                  <w:vAlign w:val="center"/>
                </w:tcPr>
                <w:p>
                  <w:pPr>
                    <w:spacing w:line="300" w:lineRule="exact"/>
                    <w:outlineLvl w:val="0"/>
                  </w:pPr>
                </w:p>
              </w:tc>
              <w:tc>
                <w:tcPr>
                  <w:tcW w:w="2902"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98"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办公室</w:t>
                  </w:r>
                </w:p>
              </w:tc>
              <w:tc>
                <w:tcPr>
                  <w:tcW w:w="1753"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98"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信访室</w:t>
                  </w:r>
                </w:p>
              </w:tc>
              <w:tc>
                <w:tcPr>
                  <w:tcW w:w="1753"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3798" w:type="dxa"/>
                  <w:vAlign w:val="top"/>
                </w:tcPr>
                <w:p>
                  <w:pPr>
                    <w:spacing w:line="300" w:lineRule="exact"/>
                    <w:jc w:val="center"/>
                    <w:rPr>
                      <w:rFonts w:hint="eastAsia" w:eastAsia="方正书宋_GBK"/>
                      <w:lang w:eastAsia="zh-CN"/>
                    </w:rPr>
                  </w:pPr>
                  <w:r>
                    <w:rPr>
                      <w:rFonts w:hint="eastAsia" w:ascii="仿宋_GB2312" w:eastAsia="仿宋_GB2312" w:cs="ArialUnicodeMS" w:hAnsiTheme="minorHAnsi"/>
                      <w:kern w:val="0"/>
                      <w:sz w:val="28"/>
                      <w:szCs w:val="28"/>
                      <w:lang w:eastAsia="zh-CN"/>
                    </w:rPr>
                    <w:t>审理室</w:t>
                  </w:r>
                </w:p>
              </w:tc>
              <w:tc>
                <w:tcPr>
                  <w:tcW w:w="1753"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98" w:type="dxa"/>
                  <w:vAlign w:val="top"/>
                </w:tcPr>
                <w:p>
                  <w:pPr>
                    <w:spacing w:line="300" w:lineRule="exact"/>
                    <w:jc w:val="center"/>
                    <w:rPr>
                      <w:rFonts w:hint="eastAsia" w:eastAsia="方正书宋_GBK"/>
                      <w:lang w:eastAsia="zh-CN"/>
                    </w:rPr>
                  </w:pPr>
                  <w:r>
                    <w:rPr>
                      <w:rFonts w:hint="eastAsia" w:ascii="仿宋_GB2312" w:eastAsia="仿宋_GB2312" w:cs="ArialUnicodeMS" w:hAnsiTheme="minorHAnsi"/>
                      <w:kern w:val="0"/>
                      <w:sz w:val="28"/>
                      <w:szCs w:val="28"/>
                      <w:lang w:eastAsia="zh-CN"/>
                    </w:rPr>
                    <w:t>案件管理室</w:t>
                  </w:r>
                </w:p>
              </w:tc>
              <w:tc>
                <w:tcPr>
                  <w:tcW w:w="1753"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98" w:type="dxa"/>
                  <w:vAlign w:val="top"/>
                </w:tcPr>
                <w:p>
                  <w:pPr>
                    <w:spacing w:line="300" w:lineRule="exact"/>
                    <w:jc w:val="center"/>
                    <w:rPr>
                      <w:rFonts w:hint="eastAsia" w:eastAsia="方正书宋_GBK"/>
                      <w:lang w:eastAsia="zh-CN"/>
                    </w:rPr>
                  </w:pPr>
                  <w:r>
                    <w:rPr>
                      <w:rFonts w:hint="eastAsia" w:ascii="仿宋_GB2312" w:eastAsia="仿宋_GB2312" w:cs="ArialUnicodeMS" w:hAnsiTheme="minorHAnsi"/>
                      <w:kern w:val="0"/>
                      <w:sz w:val="28"/>
                      <w:szCs w:val="28"/>
                      <w:lang w:eastAsia="zh-CN"/>
                    </w:rPr>
                    <w:t>党风政风监督室</w:t>
                  </w:r>
                </w:p>
              </w:tc>
              <w:tc>
                <w:tcPr>
                  <w:tcW w:w="1753"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98" w:type="dxa"/>
                  <w:vAlign w:val="top"/>
                </w:tcPr>
                <w:p>
                  <w:pPr>
                    <w:spacing w:line="300" w:lineRule="exact"/>
                    <w:jc w:val="center"/>
                    <w:rPr>
                      <w:rFonts w:hint="eastAsia" w:eastAsia="方正书宋_GBK"/>
                      <w:lang w:eastAsia="zh-CN"/>
                    </w:rPr>
                  </w:pPr>
                  <w:r>
                    <w:rPr>
                      <w:rFonts w:hint="eastAsia" w:ascii="仿宋_GB2312" w:eastAsia="仿宋_GB2312" w:cs="ArialUnicodeMS" w:hAnsiTheme="minorHAnsi"/>
                      <w:kern w:val="0"/>
                      <w:sz w:val="28"/>
                      <w:szCs w:val="28"/>
                      <w:lang w:eastAsia="zh-CN"/>
                    </w:rPr>
                    <w:t>第六至第八审查调查室</w:t>
                  </w:r>
                </w:p>
              </w:tc>
              <w:tc>
                <w:tcPr>
                  <w:tcW w:w="1753"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98" w:type="dxa"/>
                  <w:vAlign w:val="top"/>
                </w:tcPr>
                <w:p>
                  <w:pPr>
                    <w:spacing w:line="300" w:lineRule="exact"/>
                    <w:jc w:val="center"/>
                    <w:rPr>
                      <w:rFonts w:hint="eastAsia" w:eastAsia="方正书宋_GBK"/>
                      <w:lang w:eastAsia="zh-CN"/>
                    </w:rPr>
                  </w:pPr>
                  <w:r>
                    <w:rPr>
                      <w:rFonts w:hint="eastAsia" w:ascii="仿宋_GB2312" w:eastAsia="仿宋_GB2312" w:cs="ArialUnicodeMS" w:hAnsiTheme="minorHAnsi"/>
                      <w:kern w:val="0"/>
                      <w:sz w:val="28"/>
                      <w:szCs w:val="28"/>
                      <w:lang w:eastAsia="zh-CN"/>
                    </w:rPr>
                    <w:t>第一至第五监督检查室</w:t>
                  </w:r>
                </w:p>
              </w:tc>
              <w:tc>
                <w:tcPr>
                  <w:tcW w:w="1753"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eastAsia="方正书宋_GBK"/>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3798" w:type="dxa"/>
                  <w:vAlign w:val="top"/>
                </w:tcPr>
                <w:p>
                  <w:pPr>
                    <w:spacing w:line="300" w:lineRule="exact"/>
                    <w:jc w:val="center"/>
                    <w:rPr>
                      <w:rFonts w:hint="eastAsia" w:eastAsia="方正书宋_GBK"/>
                      <w:lang w:eastAsia="zh-CN"/>
                    </w:rPr>
                  </w:pPr>
                  <w:r>
                    <w:rPr>
                      <w:rFonts w:hint="eastAsia" w:ascii="仿宋_GB2312" w:eastAsia="仿宋_GB2312" w:cs="ArialUnicodeMS" w:hAnsiTheme="minorHAnsi"/>
                      <w:kern w:val="0"/>
                      <w:sz w:val="28"/>
                      <w:szCs w:val="28"/>
                      <w:lang w:eastAsia="zh-CN"/>
                    </w:rPr>
                    <w:t>驻县委办、教育局、交通局、农业农村局、卫健局、公安局纪检监察组</w:t>
                  </w:r>
                </w:p>
              </w:tc>
              <w:tc>
                <w:tcPr>
                  <w:tcW w:w="1753" w:type="dxa"/>
                  <w:vAlign w:val="top"/>
                </w:tcPr>
                <w:p>
                  <w:pPr>
                    <w:spacing w:line="30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98" w:type="dxa"/>
                  <w:vAlign w:val="top"/>
                </w:tcPr>
                <w:p>
                  <w:pPr>
                    <w:spacing w:line="300" w:lineRule="exact"/>
                    <w:jc w:val="center"/>
                    <w:rPr>
                      <w:rFonts w:hint="eastAsia" w:eastAsia="方正书宋_GBK"/>
                      <w:lang w:eastAsia="zh-CN"/>
                    </w:rPr>
                  </w:pPr>
                  <w:r>
                    <w:rPr>
                      <w:rFonts w:hint="eastAsia" w:ascii="仿宋_GB2312" w:eastAsia="仿宋_GB2312" w:cs="ArialUnicodeMS" w:hAnsiTheme="minorHAnsi"/>
                      <w:kern w:val="0"/>
                      <w:sz w:val="28"/>
                      <w:szCs w:val="28"/>
                      <w:lang w:eastAsia="zh-CN"/>
                    </w:rPr>
                    <w:t>开发区纪工委</w:t>
                  </w:r>
                </w:p>
              </w:tc>
              <w:tc>
                <w:tcPr>
                  <w:tcW w:w="1753" w:type="dxa"/>
                  <w:vAlign w:val="top"/>
                </w:tcPr>
                <w:p>
                  <w:pPr>
                    <w:spacing w:line="30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行政单位</w:t>
                  </w:r>
                </w:p>
              </w:tc>
              <w:tc>
                <w:tcPr>
                  <w:tcW w:w="2902" w:type="dxa"/>
                  <w:vAlign w:val="top"/>
                </w:tcPr>
                <w:p>
                  <w:pPr>
                    <w:spacing w:line="30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bl>
          <w:p>
            <w:pPr>
              <w:spacing w:after="0" w:line="560" w:lineRule="exact"/>
              <w:ind w:firstLine="560" w:firstLineChars="200"/>
              <w:jc w:val="left"/>
              <w:rPr>
                <w:rFonts w:ascii="仿宋_GB2312" w:eastAsia="仿宋_GB2312" w:cs="ArialUnicodeMS" w:hAnsiTheme="minorHAnsi"/>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r>
        <w:rPr>
          <w:rFonts w:hint="eastAsia" w:ascii="黑体" w:hAnsi="Calibri" w:eastAsia="黑体" w:cs="黑体"/>
          <w:kern w:val="0"/>
          <w:sz w:val="32"/>
          <w:szCs w:val="32"/>
          <w:lang w:val="en-US" w:eastAsia="zh-CN"/>
        </w:rPr>
        <w:t xml:space="preserve">   </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420" w:firstLineChars="200"/>
        <w:rPr>
          <w:rFonts w:hint="eastAsia" w:eastAsia="方正书宋_GBK"/>
          <w:lang w:eastAsia="zh-CN"/>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pStyle w:val="3"/>
        <w:spacing w:before="0" w:after="0" w:line="580" w:lineRule="exact"/>
        <w:ind w:firstLine="640" w:firstLineChars="200"/>
        <w:rPr>
          <w:rFonts w:hint="eastAsia" w:ascii="黑体" w:eastAsia="黑体"/>
          <w:b w:val="0"/>
          <w:bCs w:val="0"/>
        </w:rPr>
      </w:pPr>
      <w:r>
        <w:rPr>
          <w:rFonts w:hint="eastAsia" w:ascii="仿宋_GB2312" w:hAnsi="Times New Roman" w:eastAsia="仿宋_GB2312" w:cs="DengXian-Regular"/>
          <w:b w:val="0"/>
          <w:bCs w:val="0"/>
        </w:rPr>
        <w:t>按照预算管理有关规定，目前我部门预算的编制实行综合预算制度，即全部收入和支出都反映在预算中。</w:t>
      </w:r>
      <w:r>
        <w:rPr>
          <w:rFonts w:hint="eastAsia" w:ascii="仿宋_GB2312" w:hAnsi="Times New Roman" w:eastAsia="仿宋_GB2312" w:cs="DengXian-Regular"/>
          <w:b w:val="0"/>
          <w:bCs w:val="0"/>
          <w:lang w:eastAsia="zh-CN"/>
        </w:rPr>
        <w:t>阜城县纪律检查委员会</w:t>
      </w:r>
      <w:r>
        <w:rPr>
          <w:rFonts w:hint="eastAsia" w:ascii="仿宋_GB2312" w:hAnsi="Times New Roman" w:eastAsia="仿宋_GB2312" w:cs="DengXian-Regular"/>
          <w:b w:val="0"/>
          <w:bCs w:val="0"/>
        </w:rPr>
        <w:t>及所属行政（事业）单位的收支包含在部门决算中。</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val="en-US" w:eastAsia="zh-CN"/>
        </w:rPr>
        <w:t>1732.08</w:t>
      </w:r>
      <w:r>
        <w:rPr>
          <w:rFonts w:hint="eastAsia" w:ascii="仿宋_GB2312" w:hAnsi="Times New Roman" w:eastAsia="仿宋_GB2312" w:cs="DengXian-Regular"/>
          <w:sz w:val="32"/>
          <w:szCs w:val="32"/>
        </w:rPr>
        <w:t>万元。与2018年度决算相比，收支各减少</w:t>
      </w:r>
      <w:r>
        <w:rPr>
          <w:rFonts w:hint="eastAsia" w:ascii="仿宋_GB2312" w:hAnsi="Times New Roman" w:eastAsia="仿宋_GB2312" w:cs="DengXian-Regular"/>
          <w:sz w:val="32"/>
          <w:szCs w:val="32"/>
          <w:lang w:val="en-US" w:eastAsia="zh-CN"/>
        </w:rPr>
        <w:t>280.28</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13.93</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减少办案和技术业务用房建设支出</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1722.36</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1722.36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1571.94</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699.85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44.52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872.09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55.48</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val="en-US" w:eastAsia="zh-CN"/>
        </w:rPr>
        <w:t>1722.36</w:t>
      </w:r>
      <w:r>
        <w:rPr>
          <w:rFonts w:hint="eastAsia" w:ascii="仿宋_GB2312" w:hAnsi="Times New Roman" w:eastAsia="仿宋_GB2312" w:cs="DengXian-Regular"/>
          <w:sz w:val="32"/>
          <w:szCs w:val="32"/>
        </w:rPr>
        <w:t>万元,比2018年度减少</w:t>
      </w:r>
      <w:r>
        <w:rPr>
          <w:rFonts w:hint="eastAsia" w:ascii="仿宋_GB2312" w:hAnsi="Times New Roman" w:eastAsia="仿宋_GB2312" w:cs="DengXian-Regular"/>
          <w:sz w:val="32"/>
          <w:szCs w:val="32"/>
          <w:lang w:val="en-US" w:eastAsia="zh-CN"/>
        </w:rPr>
        <w:t>200.17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10.41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减少办案和技术业务用房项目及转隶人员绩效资金收入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1571.94</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430.7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21.51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减少办案和技术业务用房项目及转隶人员绩效资金支出</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val="en-US" w:eastAsia="zh-CN"/>
        </w:rPr>
        <w:t>1722.36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278.45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103.81</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新增中央转移支付资金、死亡抚恤金、涉密网络搬迁经费、信访接待中心改造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1571.94</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97.12</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46.61</w:t>
      </w:r>
      <w:r>
        <w:rPr>
          <w:rFonts w:hint="eastAsia" w:ascii="仿宋_GB2312" w:hAnsi="Times New Roman" w:eastAsia="仿宋_GB2312" w:cs="DengXian-Regular"/>
          <w:sz w:val="32"/>
          <w:szCs w:val="32"/>
        </w:rPr>
        <w:t>万元，决算数小于预算数主要原因是主要是</w:t>
      </w:r>
      <w:r>
        <w:rPr>
          <w:rFonts w:hint="eastAsia" w:ascii="仿宋_GB2312" w:hAnsi="Times New Roman" w:eastAsia="仿宋_GB2312" w:cs="DengXian-Regular"/>
          <w:sz w:val="32"/>
          <w:szCs w:val="32"/>
          <w:lang w:eastAsia="zh-CN"/>
        </w:rPr>
        <w:t>办案经费减少</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1571.94</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1446.80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92.04</w:t>
      </w:r>
      <w:r>
        <w:rPr>
          <w:rFonts w:hint="eastAsia" w:ascii="仿宋_GB2312" w:hAnsi="Times New Roman" w:eastAsia="仿宋_GB2312" w:cs="DengXian-Regular"/>
          <w:sz w:val="32"/>
          <w:szCs w:val="32"/>
        </w:rPr>
        <w:t xml:space="preserve">%；社会保障和就业（类）支出 </w:t>
      </w:r>
      <w:r>
        <w:rPr>
          <w:rFonts w:hint="eastAsia" w:ascii="仿宋_GB2312" w:hAnsi="Times New Roman" w:eastAsia="仿宋_GB2312" w:cs="DengXian-Regular"/>
          <w:sz w:val="32"/>
          <w:szCs w:val="32"/>
          <w:lang w:val="en-US" w:eastAsia="zh-CN"/>
        </w:rPr>
        <w:t>74.35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4.73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卫生健康支出</w:t>
      </w:r>
      <w:r>
        <w:rPr>
          <w:rFonts w:hint="eastAsia" w:ascii="仿宋_GB2312" w:hAnsi="Times New Roman" w:eastAsia="仿宋_GB2312" w:cs="DengXian-Regular"/>
          <w:sz w:val="32"/>
          <w:szCs w:val="32"/>
          <w:lang w:val="en-US" w:eastAsia="zh-CN"/>
        </w:rPr>
        <w:t>16.78万元，占1.07%；</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34.00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2.16</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699.85</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522.28</w:t>
      </w:r>
      <w:r>
        <w:rPr>
          <w:rFonts w:hint="eastAsia" w:ascii="仿宋_GB2312" w:hAnsi="Times New Roman" w:eastAsia="仿宋_GB2312" w:cs="DengXian-Regular"/>
          <w:sz w:val="32"/>
          <w:szCs w:val="32"/>
        </w:rPr>
        <w:t>万元，主要包括基本工资、津贴补贴、奖金、绩效工资、机关事业单位基本养老保险缴费、职业年金缴费、职工基本医疗保险缴费、住房公积金、其他社会保障缴费、其他工资福利支出、抚恤金；公用经费</w:t>
      </w:r>
      <w:r>
        <w:rPr>
          <w:rFonts w:hint="eastAsia" w:ascii="仿宋_GB2312" w:hAnsi="Times New Roman" w:eastAsia="仿宋_GB2312" w:cs="DengXian-Regular"/>
          <w:sz w:val="32"/>
          <w:szCs w:val="32"/>
          <w:lang w:val="en-US" w:eastAsia="zh-CN"/>
        </w:rPr>
        <w:t>177.57</w:t>
      </w:r>
      <w:r>
        <w:rPr>
          <w:rFonts w:hint="eastAsia" w:ascii="仿宋_GB2312" w:hAnsi="Times New Roman" w:eastAsia="仿宋_GB2312" w:cs="DengXian-Regular"/>
          <w:sz w:val="32"/>
          <w:szCs w:val="32"/>
        </w:rPr>
        <w:t>万元，主要包括办公费、印刷费、手续费、水费、电费、邮电费、差旅费、维修（护）费、会议费、培训费、公务接待费、劳务费、委托业务费、工会经费、福利费、公务用车运行维护费、其他交通费用、其他商品和服务支出、办公设备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2018年度决算持平</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w:t>
      </w:r>
      <w:r>
        <w:rPr>
          <w:rFonts w:hint="eastAsia" w:ascii="仿宋_GB2312" w:hAnsi="Times New Roman" w:eastAsia="仿宋_GB2312" w:cs="DengXian-Regular"/>
          <w:sz w:val="32"/>
          <w:szCs w:val="32"/>
          <w:lang w:eastAsia="zh-CN"/>
        </w:rPr>
        <w:t>与年初预算持平，与</w:t>
      </w:r>
      <w:r>
        <w:rPr>
          <w:rFonts w:hint="eastAsia" w:ascii="仿宋_GB2312" w:hAnsi="Times New Roman" w:eastAsia="仿宋_GB2312" w:cs="DengXian-Regular"/>
          <w:sz w:val="32"/>
          <w:szCs w:val="32"/>
          <w:lang w:val="en-US" w:eastAsia="zh-CN"/>
        </w:rPr>
        <w:t>2018年度决算持平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15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w:t>
      </w:r>
      <w:r>
        <w:rPr>
          <w:rFonts w:hint="eastAsia" w:ascii="仿宋_GB2312" w:hAnsi="Times New Roman" w:eastAsia="仿宋_GB2312" w:cs="DengXian-Regular"/>
          <w:sz w:val="32"/>
          <w:szCs w:val="32"/>
          <w:lang w:eastAsia="zh-CN"/>
        </w:rPr>
        <w:t>与年初预算持平，与</w:t>
      </w:r>
      <w:r>
        <w:rPr>
          <w:rFonts w:hint="eastAsia" w:ascii="仿宋_GB2312" w:hAnsi="Times New Roman" w:eastAsia="仿宋_GB2312" w:cs="DengXian-Regular"/>
          <w:sz w:val="32"/>
          <w:szCs w:val="32"/>
          <w:lang w:val="en-US" w:eastAsia="zh-CN"/>
        </w:rPr>
        <w:t>2018年度决算持平</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w:t>
      </w:r>
      <w:r>
        <w:rPr>
          <w:rFonts w:hint="eastAsia" w:ascii="仿宋_GB2312" w:hAnsi="Times New Roman" w:eastAsia="仿宋_GB2312" w:cs="DengXian-Regular"/>
          <w:sz w:val="32"/>
          <w:szCs w:val="32"/>
          <w:lang w:eastAsia="zh-CN"/>
        </w:rPr>
        <w:t>与年初预算持平，与</w:t>
      </w:r>
      <w:r>
        <w:rPr>
          <w:rFonts w:hint="eastAsia" w:ascii="仿宋_GB2312" w:hAnsi="Times New Roman" w:eastAsia="仿宋_GB2312" w:cs="DengXian-Regular"/>
          <w:sz w:val="32"/>
          <w:szCs w:val="32"/>
          <w:lang w:val="en-US" w:eastAsia="zh-CN"/>
        </w:rPr>
        <w:t>2018年度决算持平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eastAsia="zh-CN"/>
        </w:rPr>
        <w:t>与年初预算持平，与</w:t>
      </w:r>
      <w:r>
        <w:rPr>
          <w:rFonts w:hint="eastAsia" w:ascii="仿宋_GB2312" w:hAnsi="Times New Roman" w:eastAsia="仿宋_GB2312" w:cs="DengXian-Regular"/>
          <w:sz w:val="32"/>
          <w:szCs w:val="32"/>
          <w:lang w:val="en-US" w:eastAsia="zh-CN"/>
        </w:rPr>
        <w:t>2018年度决算持平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3</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143</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1060</w:t>
      </w:r>
      <w:r>
        <w:rPr>
          <w:rFonts w:hint="eastAsia" w:ascii="仿宋_GB2312" w:hAnsi="Times New Roman" w:eastAsia="仿宋_GB2312" w:cs="DengXian-Regular"/>
          <w:sz w:val="32"/>
          <w:szCs w:val="32"/>
        </w:rPr>
        <w:t>人次。公务接待费支出</w:t>
      </w:r>
      <w:r>
        <w:rPr>
          <w:rFonts w:hint="eastAsia" w:ascii="仿宋_GB2312" w:hAnsi="Times New Roman" w:eastAsia="仿宋_GB2312" w:cs="DengXian-Regular"/>
          <w:sz w:val="32"/>
          <w:szCs w:val="32"/>
          <w:lang w:eastAsia="zh-CN"/>
        </w:rPr>
        <w:t>与年初预算持平，与</w:t>
      </w:r>
      <w:r>
        <w:rPr>
          <w:rFonts w:hint="eastAsia" w:ascii="仿宋_GB2312" w:hAnsi="Times New Roman" w:eastAsia="仿宋_GB2312" w:cs="DengXian-Regular"/>
          <w:sz w:val="32"/>
          <w:szCs w:val="32"/>
          <w:lang w:val="en-US" w:eastAsia="zh-CN"/>
        </w:rPr>
        <w:t>2018年度决算持平</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根据预算绩效管理要求，本部门组织对2019年度一般公共预算项目支出全面开展绩效自评，一级项目</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1035.43</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97.94%</w:t>
      </w:r>
      <w:r>
        <w:rPr>
          <w:rFonts w:hint="eastAsia" w:ascii="仿宋_GB2312" w:hAnsi="仿宋_GB2312" w:eastAsia="仿宋_GB2312" w:cs="仿宋_GB2312"/>
          <w:sz w:val="32"/>
          <w:szCs w:val="32"/>
        </w:rPr>
        <w:t>。从评价情况来看，根据绩效评价得分表中各指标得分，对项目的立项定位、预算编制、组织实施、产出指标和效果指标完成情况进行绩效分析，发现项目立项定位准确，预算编制合理，组织实施顺利，产出指标和效果指标等完成情况均取得了预期的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巡察监督</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eastAsia="zh-CN"/>
        </w:rPr>
        <w:t>乡镇纪委经费</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巡察监督</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巡察监督</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巡察工作效率有很大提高，营造了风清气正的发展环境</w:t>
      </w:r>
      <w:r>
        <w:rPr>
          <w:rFonts w:hint="eastAsia" w:ascii="仿宋_GB2312" w:hAnsi="仿宋_GB2312" w:eastAsia="仿宋_GB2312" w:cs="仿宋_GB2312"/>
          <w:sz w:val="32"/>
          <w:szCs w:val="32"/>
        </w:rPr>
        <w:t>。发现的主要问题及原因：</w:t>
      </w:r>
      <w:r>
        <w:rPr>
          <w:rFonts w:hint="eastAsia" w:ascii="仿宋_GB2312" w:hAnsi="仿宋_GB2312" w:eastAsia="仿宋_GB2312" w:cs="仿宋_GB2312"/>
          <w:sz w:val="32"/>
          <w:szCs w:val="32"/>
          <w:lang w:val="en-US" w:eastAsia="zh-CN"/>
        </w:rPr>
        <w:t>编制工作还不够细化，财务管理工作还不够完善，有待进一步改进。</w:t>
      </w:r>
    </w:p>
    <w:p>
      <w:pPr>
        <w:numPr>
          <w:ilvl w:val="0"/>
          <w:numId w:val="0"/>
        </w:numPr>
        <w:adjustRightInd w:val="0"/>
        <w:snapToGrid w:val="0"/>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整改措施 :                                                                                                                                                                                                                             1.细化预算编制工作，认真做好预算的编制。进一步加强机关各部室的预算管理意识，严格按照预算编制的相关制度和要求，本着“勤俭节约、保障运转”的原则进行预算编制；编制范围尽可能的全面，不漏项，要与实际工作分类相匹配，进一步提高预算编制的科学性、合理性、严谨性和可控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2.遵循预算管理办法，对于年度无法预计的临时追加的相关工作所需费用，确保资金严格按照预算专项资金使用程序申报及使用，按照预算项目和使用用途执行，杜绝费用项目之间调剂使用现象的发生。</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numPr>
          <w:ilvl w:val="0"/>
          <w:numId w:val="2"/>
        </w:numPr>
        <w:adjustRightInd w:val="0"/>
        <w:snapToGrid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乡镇纪委经费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巡察监督</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我委严格落实乡镇纪委经费支出，提高基层党风廉政建设，确保将严格的纪律、扎实的作风贯穿于乡镇工作。</w:t>
      </w:r>
      <w:r>
        <w:rPr>
          <w:rFonts w:hint="eastAsia" w:ascii="仿宋_GB2312" w:hAnsi="仿宋_GB2312" w:eastAsia="仿宋_GB2312" w:cs="仿宋_GB2312"/>
          <w:sz w:val="32"/>
          <w:szCs w:val="32"/>
        </w:rPr>
        <w:t>发现的主要问题及原因：</w:t>
      </w:r>
      <w:r>
        <w:rPr>
          <w:rFonts w:hint="eastAsia" w:ascii="仿宋_GB2312" w:hAnsi="仿宋_GB2312" w:eastAsia="仿宋_GB2312" w:cs="仿宋_GB2312"/>
          <w:sz w:val="32"/>
          <w:szCs w:val="32"/>
          <w:lang w:val="en-US" w:eastAsia="zh-CN"/>
        </w:rPr>
        <w:t>编制工作还不够细化，财务管理工作还不够完善，有待进一步改进。</w:t>
      </w:r>
    </w:p>
    <w:p>
      <w:pPr>
        <w:numPr>
          <w:ilvl w:val="0"/>
          <w:numId w:val="0"/>
        </w:numPr>
        <w:adjustRightInd w:val="0"/>
        <w:snapToGrid w:val="0"/>
        <w:spacing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 :                                                                                                                                                                                                                             1.细化预算编制工作，认真做好预算的编制。进一步加强机关各部室的预算管理意识，严格按照预算编制的相关制度和要求，本着“勤俭节约、保障运转”的原则进行预算编制；编制范围尽可能的全面，不漏项，要与实际工作分类相匹配，进一步提高预算编制的科学性、合理性、严谨性和可控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2.遵循预算管理办法，对于年度无法预计的临时追加的相关工作所需费用，确保资金严格按照预算专项资金使用程序申报及使用，按照预算项目和使用用途执行，杜绝费用项目之间调剂使用现象的发生。</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tbl>
      <w:tblPr>
        <w:tblStyle w:val="7"/>
        <w:tblpPr w:leftFromText="180" w:rightFromText="180" w:vertAnchor="text" w:horzAnchor="page" w:tblpX="525" w:tblpY="88"/>
        <w:tblOverlap w:val="never"/>
        <w:tblW w:w="10801" w:type="dxa"/>
        <w:tblInd w:w="0" w:type="dxa"/>
        <w:tblLayout w:type="fixed"/>
        <w:tblCellMar>
          <w:top w:w="0" w:type="dxa"/>
          <w:left w:w="0" w:type="dxa"/>
          <w:bottom w:w="0" w:type="dxa"/>
          <w:right w:w="0" w:type="dxa"/>
        </w:tblCellMar>
      </w:tblPr>
      <w:tblGrid>
        <w:gridCol w:w="1545"/>
        <w:gridCol w:w="1530"/>
        <w:gridCol w:w="1080"/>
        <w:gridCol w:w="1875"/>
        <w:gridCol w:w="1054"/>
        <w:gridCol w:w="1331"/>
        <w:gridCol w:w="1069"/>
        <w:gridCol w:w="1317"/>
      </w:tblGrid>
      <w:tr>
        <w:tblPrEx>
          <w:tblCellMar>
            <w:top w:w="0" w:type="dxa"/>
            <w:left w:w="0" w:type="dxa"/>
            <w:bottom w:w="0" w:type="dxa"/>
            <w:right w:w="0" w:type="dxa"/>
          </w:tblCellMar>
        </w:tblPrEx>
        <w:trPr>
          <w:trHeight w:val="480" w:hRule="atLeast"/>
        </w:trPr>
        <w:tc>
          <w:tcPr>
            <w:tcW w:w="10801"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县级部门预算项目绩效自评表</w:t>
            </w:r>
          </w:p>
        </w:tc>
      </w:tr>
      <w:tr>
        <w:tblPrEx>
          <w:tblCellMar>
            <w:top w:w="0" w:type="dxa"/>
            <w:left w:w="0" w:type="dxa"/>
            <w:bottom w:w="0" w:type="dxa"/>
            <w:right w:w="0" w:type="dxa"/>
          </w:tblCellMar>
        </w:tblPrEx>
        <w:trPr>
          <w:trHeight w:val="480" w:hRule="atLeast"/>
        </w:trPr>
        <w:tc>
          <w:tcPr>
            <w:tcW w:w="10801"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 xml:space="preserve"> 年度）</w:t>
            </w:r>
          </w:p>
        </w:tc>
      </w:tr>
      <w:tr>
        <w:tblPrEx>
          <w:tblCellMar>
            <w:top w:w="0" w:type="dxa"/>
            <w:left w:w="0" w:type="dxa"/>
            <w:bottom w:w="0" w:type="dxa"/>
            <w:right w:w="0" w:type="dxa"/>
          </w:tblCellMar>
        </w:tblPrEx>
        <w:trPr>
          <w:trHeight w:val="500" w:hRule="atLeast"/>
        </w:trPr>
        <w:tc>
          <w:tcPr>
            <w:tcW w:w="154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w:t>
            </w:r>
          </w:p>
        </w:tc>
        <w:tc>
          <w:tcPr>
            <w:tcW w:w="153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4"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6"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一、基本情况</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0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乡镇纪委经费</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实施（主管）单位</w:t>
            </w:r>
          </w:p>
        </w:tc>
        <w:tc>
          <w:tcPr>
            <w:tcW w:w="23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阜城纪委</w:t>
            </w:r>
          </w:p>
        </w:tc>
      </w:tr>
      <w:tr>
        <w:tblPrEx>
          <w:tblCellMar>
            <w:top w:w="0" w:type="dxa"/>
            <w:left w:w="0" w:type="dxa"/>
            <w:bottom w:w="0" w:type="dxa"/>
            <w:right w:w="0" w:type="dxa"/>
          </w:tblCellMar>
        </w:tblPrEx>
        <w:trPr>
          <w:trHeight w:val="600" w:hRule="atLeast"/>
        </w:trPr>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二、预算执行情况</w:t>
            </w:r>
          </w:p>
        </w:tc>
        <w:tc>
          <w:tcPr>
            <w:tcW w:w="26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预算安排情况（调整后）</w:t>
            </w: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资金到位情况</w:t>
            </w:r>
          </w:p>
        </w:tc>
        <w:tc>
          <w:tcPr>
            <w:tcW w:w="2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资金执行情况</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预算执行进度</w:t>
            </w: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到位数</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48</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48</w:t>
            </w:r>
          </w:p>
        </w:tc>
        <w:tc>
          <w:tcPr>
            <w:tcW w:w="13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48</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48</w:t>
            </w:r>
          </w:p>
        </w:tc>
        <w:tc>
          <w:tcPr>
            <w:tcW w:w="13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9" w:hRule="atLeast"/>
        </w:trPr>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三、目标完成情况</w:t>
            </w:r>
          </w:p>
        </w:tc>
        <w:tc>
          <w:tcPr>
            <w:tcW w:w="44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年度预期目标</w:t>
            </w:r>
          </w:p>
        </w:tc>
        <w:tc>
          <w:tcPr>
            <w:tcW w:w="34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具体完成情况</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总体完成率</w:t>
            </w:r>
          </w:p>
        </w:tc>
      </w:tr>
      <w:tr>
        <w:tblPrEx>
          <w:tblCellMar>
            <w:top w:w="0" w:type="dxa"/>
            <w:left w:w="0" w:type="dxa"/>
            <w:bottom w:w="0" w:type="dxa"/>
            <w:right w:w="0" w:type="dxa"/>
          </w:tblCellMar>
        </w:tblPrEx>
        <w:trPr>
          <w:trHeight w:val="859"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完成乡镇纪委经费支出，必须加强</w:t>
            </w:r>
            <w:r>
              <w:rPr>
                <w:rFonts w:hint="eastAsia" w:ascii="宋体" w:hAnsi="宋体" w:cs="宋体"/>
                <w:i w:val="0"/>
                <w:color w:val="000000"/>
                <w:kern w:val="0"/>
                <w:sz w:val="18"/>
                <w:szCs w:val="18"/>
                <w:u w:val="none"/>
                <w:lang w:val="en-US" w:eastAsia="zh-CN" w:bidi="ar"/>
              </w:rPr>
              <w:t>乡</w:t>
            </w:r>
            <w:r>
              <w:rPr>
                <w:rFonts w:hint="eastAsia" w:ascii="宋体" w:hAnsi="宋体" w:eastAsia="宋体" w:cs="宋体"/>
                <w:i w:val="0"/>
                <w:color w:val="000000"/>
                <w:kern w:val="0"/>
                <w:sz w:val="18"/>
                <w:szCs w:val="18"/>
                <w:u w:val="none"/>
                <w:lang w:val="en-US" w:eastAsia="zh-CN" w:bidi="ar"/>
              </w:rPr>
              <w:t>镇纪委建设，</w:t>
            </w:r>
            <w:r>
              <w:rPr>
                <w:rFonts w:hint="eastAsia" w:ascii="宋体" w:hAnsi="宋体" w:cs="宋体"/>
                <w:i w:val="0"/>
                <w:color w:val="000000"/>
                <w:kern w:val="0"/>
                <w:sz w:val="18"/>
                <w:szCs w:val="18"/>
                <w:u w:val="none"/>
                <w:lang w:val="en-US" w:eastAsia="zh-CN" w:bidi="ar"/>
              </w:rPr>
              <w:t>提高乡镇纪委人员的业务能力和办公化水平。</w:t>
            </w:r>
          </w:p>
        </w:tc>
        <w:tc>
          <w:tcPr>
            <w:tcW w:w="34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我委严格落实乡镇纪委经费支出，提高基层党风廉政建设</w:t>
            </w:r>
            <w:r>
              <w:rPr>
                <w:rFonts w:hint="eastAsia" w:ascii="宋体" w:hAnsi="宋体" w:cs="宋体"/>
                <w:i w:val="0"/>
                <w:color w:val="000000"/>
                <w:kern w:val="0"/>
                <w:sz w:val="18"/>
                <w:szCs w:val="18"/>
                <w:u w:val="none"/>
                <w:lang w:val="en-US" w:eastAsia="zh-CN" w:bidi="ar"/>
              </w:rPr>
              <w:t>，确保将严的纪律、实的作风贯穿于脱贫攻坚。</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600" w:hRule="atLeast"/>
        </w:trPr>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四、年度绩效指标完成情况</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自评得分</w:t>
            </w: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产出指标（50分）</w:t>
            </w:r>
          </w:p>
        </w:tc>
        <w:tc>
          <w:tcPr>
            <w:tcW w:w="108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开办宣传专栏数量</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新增乡镇乡镇监察委员会办公室</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效益指标（30分）</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对于反腐倡廉思想的学习程度</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业务保障能力提升情况</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社会公众满意度</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≥90%</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预算执行率（10分）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2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年底实现全部支出　</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支出率100%</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600" w:hRule="atLeast"/>
        </w:trPr>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780" w:hRule="atLeast"/>
        </w:trPr>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五、存在问题、原因及下一步整改措施</w:t>
            </w:r>
          </w:p>
        </w:tc>
        <w:tc>
          <w:tcPr>
            <w:tcW w:w="925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ind w:left="360" w:hanging="360" w:hangingChars="20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存在的问题</w:t>
            </w:r>
          </w:p>
          <w:p>
            <w:pPr>
              <w:keepNext w:val="0"/>
              <w:keepLines w:val="0"/>
              <w:widowControl/>
              <w:suppressLineNumbers w:val="0"/>
              <w:ind w:left="358" w:leftChars="85" w:hanging="180" w:hangingChars="100"/>
              <w:jc w:val="left"/>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编制工作还不够细化，财务管理工作还不够完善,有待进一步改进。</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整改措施                                                                                                                                         1.细化预算编制工作，认真做好预算的编制。严格按照预算编制的相关制度和要求，本着“勤俭节约、保障运转”的原则进行预算编制；编制范围尽可能的全面，不漏项，要与实际工作分类相匹配，进一步提高预算编制的科学性、合理性、严谨性和可控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2.遵循预算管理办法，对于年度无法预计的临时追加的相关工作所需费用，确保资金严格按照预算专项资金使用程序申报及使用，按照预算项目和使用用途执行，杜绝费用项目之间调剂使用现象的发生。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tc>
      </w:tr>
      <w:tr>
        <w:tblPrEx>
          <w:tblCellMar>
            <w:top w:w="0" w:type="dxa"/>
            <w:left w:w="0" w:type="dxa"/>
            <w:bottom w:w="0" w:type="dxa"/>
            <w:right w:w="0" w:type="dxa"/>
          </w:tblCellMar>
        </w:tblPrEx>
        <w:trPr>
          <w:trHeight w:val="600" w:hRule="atLeast"/>
        </w:trPr>
        <w:tc>
          <w:tcPr>
            <w:tcW w:w="154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填报表：</w:t>
            </w:r>
          </w:p>
        </w:tc>
        <w:tc>
          <w:tcPr>
            <w:tcW w:w="153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4"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069"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4622271</w:t>
            </w:r>
          </w:p>
        </w:tc>
        <w:tc>
          <w:tcPr>
            <w:tcW w:w="1317"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numPr>
          <w:ilvl w:val="0"/>
          <w:numId w:val="0"/>
        </w:numPr>
        <w:adjustRightInd w:val="0"/>
        <w:snapToGrid w:val="0"/>
        <w:spacing w:line="580" w:lineRule="exact"/>
        <w:jc w:val="left"/>
        <w:rPr>
          <w:rFonts w:hint="eastAsia" w:ascii="仿宋_GB2312" w:hAnsi="仿宋_GB2312" w:eastAsia="仿宋_GB2312" w:cs="仿宋_GB2312"/>
          <w:sz w:val="32"/>
          <w:szCs w:val="32"/>
          <w:lang w:val="en-US" w:eastAsia="zh-CN"/>
        </w:rPr>
      </w:pPr>
    </w:p>
    <w:tbl>
      <w:tblPr>
        <w:tblStyle w:val="7"/>
        <w:tblpPr w:leftFromText="180" w:rightFromText="180" w:vertAnchor="text" w:horzAnchor="page" w:tblpX="575" w:tblpY="101"/>
        <w:tblOverlap w:val="never"/>
        <w:tblW w:w="10684" w:type="dxa"/>
        <w:tblInd w:w="0" w:type="dxa"/>
        <w:tblLayout w:type="fixed"/>
        <w:tblCellMar>
          <w:top w:w="0" w:type="dxa"/>
          <w:left w:w="0" w:type="dxa"/>
          <w:bottom w:w="0" w:type="dxa"/>
          <w:right w:w="0" w:type="dxa"/>
        </w:tblCellMar>
      </w:tblPr>
      <w:tblGrid>
        <w:gridCol w:w="1718"/>
        <w:gridCol w:w="1035"/>
        <w:gridCol w:w="1290"/>
        <w:gridCol w:w="1500"/>
        <w:gridCol w:w="1275"/>
        <w:gridCol w:w="1335"/>
        <w:gridCol w:w="1230"/>
        <w:gridCol w:w="1301"/>
      </w:tblGrid>
      <w:tr>
        <w:tblPrEx>
          <w:tblCellMar>
            <w:top w:w="0" w:type="dxa"/>
            <w:left w:w="0" w:type="dxa"/>
            <w:bottom w:w="0" w:type="dxa"/>
            <w:right w:w="0" w:type="dxa"/>
          </w:tblCellMar>
        </w:tblPrEx>
        <w:trPr>
          <w:trHeight w:val="405" w:hRule="atLeast"/>
        </w:trPr>
        <w:tc>
          <w:tcPr>
            <w:tcW w:w="10684"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县级部门预算项目绩效自评表</w:t>
            </w:r>
          </w:p>
        </w:tc>
      </w:tr>
      <w:tr>
        <w:tblPrEx>
          <w:tblCellMar>
            <w:top w:w="0" w:type="dxa"/>
            <w:left w:w="0" w:type="dxa"/>
            <w:bottom w:w="0" w:type="dxa"/>
            <w:right w:w="0" w:type="dxa"/>
          </w:tblCellMar>
        </w:tblPrEx>
        <w:trPr>
          <w:trHeight w:val="420" w:hRule="atLeast"/>
        </w:trPr>
        <w:tc>
          <w:tcPr>
            <w:tcW w:w="10684"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 xml:space="preserve"> 年度）</w:t>
            </w:r>
          </w:p>
        </w:tc>
      </w:tr>
      <w:tr>
        <w:tblPrEx>
          <w:tblCellMar>
            <w:top w:w="0" w:type="dxa"/>
            <w:left w:w="0" w:type="dxa"/>
            <w:bottom w:w="0" w:type="dxa"/>
            <w:right w:w="0" w:type="dxa"/>
          </w:tblCellMar>
        </w:tblPrEx>
        <w:trPr>
          <w:trHeight w:val="400" w:hRule="atLeast"/>
        </w:trPr>
        <w:tc>
          <w:tcPr>
            <w:tcW w:w="171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w:t>
            </w:r>
          </w:p>
        </w:tc>
        <w:tc>
          <w:tcPr>
            <w:tcW w:w="103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1"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71" w:hRule="atLeast"/>
        </w:trPr>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一、基本情况</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0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巡查监督经费</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实施（主管）单位</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阜城纪委</w:t>
            </w:r>
          </w:p>
        </w:tc>
      </w:tr>
      <w:tr>
        <w:tblPrEx>
          <w:tblCellMar>
            <w:top w:w="0" w:type="dxa"/>
            <w:left w:w="0" w:type="dxa"/>
            <w:bottom w:w="0" w:type="dxa"/>
            <w:right w:w="0" w:type="dxa"/>
          </w:tblCellMar>
        </w:tblPrEx>
        <w:trPr>
          <w:trHeight w:val="700" w:hRule="atLeast"/>
        </w:trPr>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二、预算执行情况</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预算安排情况（调整后）</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资金到位情况</w:t>
            </w:r>
          </w:p>
        </w:tc>
        <w:tc>
          <w:tcPr>
            <w:tcW w:w="2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资金执行情况</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预算执行进度</w:t>
            </w: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到位数</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3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00" w:hRule="atLeast"/>
        </w:trPr>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三、目标完成情况</w:t>
            </w:r>
          </w:p>
        </w:tc>
        <w:tc>
          <w:tcPr>
            <w:tcW w:w="38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年度预期目标</w:t>
            </w:r>
          </w:p>
        </w:tc>
        <w:tc>
          <w:tcPr>
            <w:tcW w:w="38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具体完成情况</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总体完成率</w:t>
            </w: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提高巡察工作效率，切实做到利剑高悬、震慑常在</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为营造风清气正的发展环境作出了积极贡献。</w:t>
            </w:r>
          </w:p>
        </w:tc>
        <w:tc>
          <w:tcPr>
            <w:tcW w:w="38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巡察工作效率有很大提高，营造了风清气正的发展环境。</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588" w:hRule="atLeast"/>
        </w:trPr>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四、年度绩效指标完成情况</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自评得分</w:t>
            </w: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产出指标（50分）</w:t>
            </w:r>
          </w:p>
        </w:tc>
        <w:tc>
          <w:tcPr>
            <w:tcW w:w="129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组织开展巡察监督的次数</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CellMar>
            <w:top w:w="0" w:type="dxa"/>
            <w:left w:w="0" w:type="dxa"/>
            <w:bottom w:w="0" w:type="dxa"/>
            <w:right w:w="0" w:type="dxa"/>
          </w:tblCellMar>
        </w:tblPrEx>
        <w:trPr>
          <w:trHeight w:val="638"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实际开展监督检查的对象数量占应监督对象总数的比率</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效益指标（30分）</w:t>
            </w:r>
          </w:p>
        </w:tc>
        <w:tc>
          <w:tcPr>
            <w:tcW w:w="12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问题整改率</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29</w:t>
            </w: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2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社会公众满意度</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700"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预算执行率（10分）</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年底实现全部支出　</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支出率100%</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593"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99</w:t>
            </w:r>
          </w:p>
        </w:tc>
      </w:tr>
      <w:tr>
        <w:tblPrEx>
          <w:tblCellMar>
            <w:top w:w="0" w:type="dxa"/>
            <w:left w:w="0" w:type="dxa"/>
            <w:bottom w:w="0" w:type="dxa"/>
            <w:right w:w="0" w:type="dxa"/>
          </w:tblCellMar>
        </w:tblPrEx>
        <w:trPr>
          <w:trHeight w:val="3180" w:hRule="atLeast"/>
        </w:trPr>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五、存在问题、原因及下一步整改措施</w:t>
            </w:r>
          </w:p>
        </w:tc>
        <w:tc>
          <w:tcPr>
            <w:tcW w:w="896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存在的问题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编制工作还不够细化，财务管理工作还不够完善，有待进一步改进。</w:t>
            </w:r>
            <w:r>
              <w:rPr>
                <w:rFonts w:hint="eastAsia" w:ascii="宋体" w:hAnsi="宋体" w:eastAsia="宋体" w:cs="宋体"/>
                <w:i w:val="0"/>
                <w:color w:val="000000"/>
                <w:kern w:val="0"/>
                <w:sz w:val="18"/>
                <w:szCs w:val="18"/>
                <w:u w:val="none"/>
                <w:lang w:val="en-US" w:eastAsia="zh-CN" w:bidi="ar"/>
              </w:rPr>
              <w:t xml:space="preserve">                                                                                                整改措施                                                                                                                                         1.细化预算编制工作，认真做好预算的编制。进一步加强机关各部室的预算管理意识，严格按照预算编制的相关制度和要求，本着“勤俭节约、保障运转”的原则进行预算编制；编制范围尽可能的全面，不漏项，要与实际工作分类相匹配，进一步提高预算编制的科学性、合理性、严谨性和可控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2.遵循预算管理办法，对于年度无法预计的临时追加的相关工作所需费用，确保资金严格按照预算专项资金使用程序申报及使用，按照预算项目和使用用途执行，杜绝费用项目之间调剂使用现象的发生。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tc>
      </w:tr>
      <w:tr>
        <w:tblPrEx>
          <w:tblCellMar>
            <w:top w:w="0" w:type="dxa"/>
            <w:left w:w="0" w:type="dxa"/>
            <w:bottom w:w="0" w:type="dxa"/>
            <w:right w:w="0" w:type="dxa"/>
          </w:tblCellMar>
        </w:tblPrEx>
        <w:trPr>
          <w:trHeight w:val="600" w:hRule="atLeast"/>
        </w:trPr>
        <w:tc>
          <w:tcPr>
            <w:tcW w:w="171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填报表：</w:t>
            </w:r>
          </w:p>
        </w:tc>
        <w:tc>
          <w:tcPr>
            <w:tcW w:w="10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3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4622271</w:t>
            </w:r>
          </w:p>
        </w:tc>
        <w:tc>
          <w:tcPr>
            <w:tcW w:w="130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p>
            <w:pPr>
              <w:jc w:val="center"/>
              <w:rPr>
                <w:rFonts w:hint="eastAsia" w:ascii="宋体" w:hAnsi="宋体" w:eastAsia="宋体" w:cs="宋体"/>
                <w:i w:val="0"/>
                <w:color w:val="000000"/>
                <w:sz w:val="22"/>
                <w:szCs w:val="22"/>
                <w:u w:val="none"/>
              </w:rPr>
            </w:pPr>
          </w:p>
        </w:tc>
      </w:tr>
    </w:tbl>
    <w:p>
      <w:pPr>
        <w:keepNext/>
        <w:keepLines/>
        <w:numPr>
          <w:ilvl w:val="0"/>
          <w:numId w:val="0"/>
        </w:numPr>
        <w:snapToGrid w:val="0"/>
        <w:spacing w:line="580" w:lineRule="exact"/>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财政评价项目绩效评价结果</w:t>
      </w:r>
    </w:p>
    <w:p>
      <w:pPr>
        <w:keepNext/>
        <w:keepLines/>
        <w:numPr>
          <w:ilvl w:val="0"/>
          <w:numId w:val="0"/>
        </w:numPr>
        <w:snapToGrid w:val="0"/>
        <w:spacing w:line="580" w:lineRule="exact"/>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177.57</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0.79</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机关办公场所搬迁购置费增长较多</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eastAsia="zh-CN"/>
        </w:rPr>
        <w:t>公务用车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本部门2019年度政府性基金预算财政拨款无收支及结转结余情况，故政府性基金预算财政拨款收入支出</w:t>
      </w:r>
      <w:r>
        <w:rPr>
          <w:rFonts w:hint="eastAsia" w:ascii="仿宋_GB2312" w:hAnsi="Times New Roman" w:eastAsia="仿宋_GB2312" w:cs="DengXian-Regular"/>
          <w:sz w:val="32"/>
          <w:szCs w:val="32"/>
          <w:lang w:eastAsia="zh-CN"/>
        </w:rPr>
        <w:t>决算</w:t>
      </w:r>
      <w:r>
        <w:rPr>
          <w:rFonts w:hint="eastAsia" w:ascii="仿宋_GB2312" w:hAnsi="Times New Roman" w:eastAsia="仿宋_GB2312" w:cs="DengXian-Regular"/>
          <w:sz w:val="32"/>
          <w:szCs w:val="32"/>
        </w:rPr>
        <w:t>表以空表列示</w:t>
      </w:r>
      <w:r>
        <w:rPr>
          <w:rFonts w:hint="eastAsia" w:ascii="仿宋_GB2312" w:hAnsi="Times New Roman" w:eastAsia="仿宋_GB2312" w:cs="DengXian-Regular"/>
          <w:sz w:val="32"/>
          <w:szCs w:val="32"/>
          <w:lang w:eastAsia="zh-CN"/>
        </w:rPr>
        <w:t>；国有资本经营预算财政拨款无支出情况，故国有资本经营预算财政拨款支出决算表以空表列示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5"/>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hint="eastAsia" w:ascii="仿宋_GB2312" w:hAnsi="Cambria" w:eastAsia="仿宋_GB2312" w:cs="ArialUnicodeMS"/>
          <w:kern w:val="0"/>
          <w:sz w:val="32"/>
          <w:szCs w:val="32"/>
        </w:rPr>
        <w:sectPr>
          <w:headerReference r:id="rId20" w:type="default"/>
          <w:pgSz w:w="11906" w:h="16838"/>
          <w:pgMar w:top="2098" w:right="1474" w:bottom="1985" w:left="1588" w:header="851" w:footer="992" w:gutter="0"/>
          <w:pgNumType w:fmt="numberInDash"/>
          <w:cols w:space="425" w:num="1"/>
          <w:docGrid w:type="lines" w:linePitch="312" w:charSpace="0"/>
        </w:sect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tabs>
          <w:tab w:val="left" w:pos="235"/>
        </w:tabs>
        <w:ind w:firstLine="640" w:firstLineChars="200"/>
        <w:jc w:val="left"/>
        <w:rPr>
          <w:rFonts w:hint="eastAsia" w:ascii="仿宋_GB2312" w:hAnsi="Cambria" w:eastAsia="仿宋_GB2312" w:cs="ArialUnicodeMS"/>
          <w:kern w:val="0"/>
          <w:sz w:val="32"/>
          <w:szCs w:val="32"/>
        </w:rPr>
      </w:pPr>
    </w:p>
    <w:p/>
    <w:p/>
    <w:p/>
    <w:p/>
    <w:p/>
    <w:p>
      <w:bookmarkStart w:id="0" w:name="_GoBack"/>
      <w:bookmarkEnd w:id="0"/>
      <w:r>
        <w:rPr>
          <w:sz w:val="72"/>
        </w:rPr>
        <w:pict>
          <v:shape id="_x0000_s1028" o:spid="_x0000_s1028" o:spt="202" type="#_x0000_t202" style="position:absolute;left:0pt;margin-left:-82.95pt;margin-top:15.2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
      <w:pPr>
        <w:tabs>
          <w:tab w:val="left" w:pos="235"/>
        </w:tabs>
        <w:jc w:val="left"/>
        <w:sectPr>
          <w:pgSz w:w="11906" w:h="16838"/>
          <w:pgMar w:top="2098" w:right="1474" w:bottom="1985" w:left="1588" w:header="851" w:footer="992" w:gutter="0"/>
          <w:pgNumType w:fmt="numberInDash"/>
          <w:cols w:space="425" w:num="1"/>
          <w:docGrid w:type="lines" w:linePitch="312" w:charSpace="0"/>
        </w:sectPr>
      </w:pPr>
    </w:p>
    <w:p>
      <w:pPr>
        <w:tabs>
          <w:tab w:val="left" w:pos="886"/>
        </w:tabs>
        <w:jc w:val="left"/>
      </w:pPr>
      <w:r>
        <w:object>
          <v:shape id="_x0000_i1025" o:spt="75" type="#_x0000_t75" style="height:491.35pt;width:453.2pt;" o:ole="t" filled="f" o:preferrelative="t" stroked="f" coordsize="21600,21600">
            <v:path/>
            <v:fill on="f" focussize="0,0"/>
            <v:stroke on="f"/>
            <v:imagedata r:id="rId27" o:title=""/>
            <o:lock v:ext="edit" aspectratio="f"/>
            <w10:wrap type="none"/>
            <w10:anchorlock/>
          </v:shape>
          <o:OLEObject Type="Embed" ProgID="Excel.Sheet.12" ShapeID="_x0000_i1025" DrawAspect="Content" ObjectID="_1468075725" r:id="rId26">
            <o:LockedField>false</o:LockedField>
          </o:OLEObject>
        </w:object>
      </w:r>
    </w:p>
    <w:p>
      <w:pPr>
        <w:jc w:val="left"/>
      </w:pPr>
    </w:p>
    <w:p>
      <w:pPr>
        <w:jc w:val="left"/>
      </w:pPr>
    </w:p>
    <w:p>
      <w:r>
        <w:br w:type="page"/>
      </w:r>
    </w:p>
    <w:p>
      <w:r>
        <w:object>
          <v:shape id="_x0000_i1026" o:spt="75" type="#_x0000_t75" style="height:443.25pt;width:453.5pt;" o:ole="t" filled="f" o:preferrelative="t" stroked="f" coordsize="21600,21600">
            <v:path/>
            <v:fill on="f" focussize="0,0"/>
            <v:stroke on="f"/>
            <v:imagedata r:id="rId29" o:title=""/>
            <o:lock v:ext="edit" aspectratio="f"/>
            <w10:wrap type="none"/>
            <w10:anchorlock/>
          </v:shape>
          <o:OLEObject Type="Embed" ProgID="Excel.Sheet.12" ShapeID="_x0000_i1026" DrawAspect="Content" ObjectID="_1468075726" r:id="rId28">
            <o:LockedField>false</o:LockedField>
          </o:OLEObject>
        </w:object>
      </w:r>
      <w:r>
        <w:br w:type="page"/>
      </w:r>
    </w:p>
    <w:p>
      <w:r>
        <w:object>
          <v:shape id="_x0000_i1027" o:spt="75" type="#_x0000_t75" style="height:437.75pt;width:453.5pt;" o:ole="t" filled="f" o:preferrelative="t" stroked="f" coordsize="21600,21600">
            <v:path/>
            <v:fill on="f" focussize="0,0"/>
            <v:stroke on="f"/>
            <v:imagedata r:id="rId31" o:title=""/>
            <o:lock v:ext="edit" aspectratio="f"/>
            <w10:wrap type="none"/>
            <w10:anchorlock/>
          </v:shape>
          <o:OLEObject Type="Embed" ProgID="Excel.Sheet.12" ShapeID="_x0000_i1027" DrawAspect="Content" ObjectID="_1468075727" r:id="rId30">
            <o:LockedField>false</o:LockedField>
          </o:OLEObject>
        </w:object>
      </w:r>
      <w:r>
        <w:br w:type="page"/>
      </w:r>
    </w:p>
    <w:p>
      <w:r>
        <w:object>
          <v:shape id="_x0000_i1028" o:spt="75" type="#_x0000_t75" style="height:497.65pt;width:453.6pt;" o:ole="t" filled="f" o:preferrelative="t" stroked="f" coordsize="21600,21600">
            <v:path/>
            <v:fill on="f" focussize="0,0"/>
            <v:stroke on="f"/>
            <v:imagedata r:id="rId33" o:title=""/>
            <o:lock v:ext="edit" aspectratio="f"/>
            <w10:wrap type="none"/>
            <w10:anchorlock/>
          </v:shape>
          <o:OLEObject Type="Embed" ProgID="Excel.Sheet.12" ShapeID="_x0000_i1028" DrawAspect="Content" ObjectID="_1468075728" r:id="rId32">
            <o:LockedField>false</o:LockedField>
          </o:OLEObject>
        </w:object>
      </w:r>
      <w:r>
        <w:br w:type="page"/>
      </w:r>
    </w:p>
    <w:p>
      <w:r>
        <w:object>
          <v:shape id="_x0000_i1029" o:spt="75" type="#_x0000_t75" style="height:449.15pt;width:453.3pt;" o:ole="t" filled="f" o:preferrelative="t" stroked="f" coordsize="21600,21600">
            <v:path/>
            <v:fill on="f" focussize="0,0"/>
            <v:stroke on="f"/>
            <v:imagedata r:id="rId35" o:title=""/>
            <o:lock v:ext="edit" aspectratio="f"/>
            <w10:wrap type="none"/>
            <w10:anchorlock/>
          </v:shape>
          <o:OLEObject Type="Embed" ProgID="Excel.Sheet.12" ShapeID="_x0000_i1029" DrawAspect="Content" ObjectID="_1468075729" r:id="rId34">
            <o:LockedField>false</o:LockedField>
          </o:OLEObject>
        </w:object>
      </w:r>
      <w:r>
        <w:br w:type="page"/>
      </w:r>
    </w:p>
    <w:p>
      <w:r>
        <w:object>
          <v:shape id="_x0000_i1030" o:spt="75" type="#_x0000_t75" style="height:460.9pt;width:453.3pt;" o:ole="t" filled="f" o:preferrelative="t" stroked="f" coordsize="21600,21600">
            <v:path/>
            <v:fill on="f" focussize="0,0"/>
            <v:stroke on="f"/>
            <v:imagedata r:id="rId37" o:title=""/>
            <o:lock v:ext="edit" aspectratio="f"/>
            <w10:wrap type="none"/>
            <w10:anchorlock/>
          </v:shape>
          <o:OLEObject Type="Embed" ProgID="Excel.Sheet.12" ShapeID="_x0000_i1030" DrawAspect="Content" ObjectID="_1468075730" r:id="rId36">
            <o:LockedField>false</o:LockedField>
          </o:OLEObject>
        </w:object>
      </w:r>
      <w:r>
        <w:br w:type="page"/>
      </w:r>
    </w:p>
    <w:p>
      <w:pPr>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pPr>
      <w:r>
        <w:object>
          <v:shape id="_x0000_i1031" o:spt="75" type="#_x0000_t75" style="height:167.7pt;width:453.35pt;" o:ole="t" filled="f" o:preferrelative="t" stroked="f" coordsize="21600,21600">
            <v:path/>
            <v:fill on="f" focussize="0,0"/>
            <v:stroke on="f"/>
            <v:imagedata r:id="rId39" o:title=""/>
            <o:lock v:ext="edit" aspectratio="f"/>
            <w10:wrap type="none"/>
            <w10:anchorlock/>
          </v:shape>
          <o:OLEObject Type="Embed" ProgID="Excel.Sheet.12" ShapeID="_x0000_i1031" DrawAspect="Content" ObjectID="_1468075731" r:id="rId38">
            <o:LockedField>false</o:LockedField>
          </o:OLEObject>
        </w:object>
      </w:r>
    </w:p>
    <w:p>
      <w:pPr>
        <w:sectPr>
          <w:pgSz w:w="11906" w:h="16838"/>
          <w:pgMar w:top="1701" w:right="1417" w:bottom="1281" w:left="1417" w:header="851" w:footer="992" w:gutter="0"/>
          <w:pgNumType w:fmt="numberInDash"/>
          <w:cols w:space="0" w:num="1"/>
          <w:docGrid w:type="lines" w:linePitch="312" w:charSpace="0"/>
        </w:sectPr>
      </w:pPr>
      <w:r>
        <w:object>
          <v:shape id="_x0000_i1032" o:spt="75" type="#_x0000_t75" style="height:234.1pt;width:453.45pt;" o:ole="t" filled="f" o:preferrelative="t" stroked="f" coordsize="21600,21600">
            <v:path/>
            <v:fill on="f" focussize="0,0"/>
            <v:stroke on="f"/>
            <v:imagedata r:id="rId41" o:title=""/>
            <o:lock v:ext="edit" aspectratio="f"/>
            <w10:wrap type="none"/>
            <w10:anchorlock/>
          </v:shape>
          <o:OLEObject Type="Embed" ProgID="Excel.Sheet.12" ShapeID="_x0000_i1032" DrawAspect="Content" ObjectID="_1468075732" r:id="rId40">
            <o:LockedField>false</o:LockedField>
          </o:OLEObject>
        </w:object>
      </w:r>
    </w:p>
    <w:p>
      <w:r>
        <w:object>
          <v:shape id="_x0000_i1033" o:spt="75" type="#_x0000_t75" style="height:197.8pt;width:453.45pt;" o:ole="t" filled="f" o:preferrelative="t" stroked="f" coordsize="21600,21600">
            <v:path/>
            <v:fill on="f" focussize="0,0"/>
            <v:stroke on="f"/>
            <v:imagedata r:id="rId43" o:title=""/>
            <o:lock v:ext="edit" aspectratio="f"/>
            <w10:wrap type="none"/>
            <w10:anchorlock/>
          </v:shape>
          <o:OLEObject Type="Embed" ProgID="Excel.Sheet.12" ShapeID="_x0000_i1033" DrawAspect="Content" ObjectID="_1468075733" r:id="rId42">
            <o:LockedField>false</o:LockedField>
          </o:OLEObject>
        </w:object>
      </w:r>
      <w:r>
        <w:br w:type="page"/>
      </w:r>
    </w:p>
    <w:p>
      <w:r>
        <w:pict>
          <v:rect id="_x0000_s1027" o:spid="_x0000_s1027"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bold">
    <w:altName w:val="Kozuka Mincho Pr6N R"/>
    <w:panose1 w:val="00000000000000000000"/>
    <w:charset w:val="80"/>
    <w:family w:val="swiss"/>
    <w:pitch w:val="default"/>
    <w:sig w:usb0="00000000" w:usb1="00000000" w:usb2="00000016" w:usb3="00000000" w:csb0="2002009F" w:csb1="00000000"/>
  </w:font>
  <w:font w:name="微软雅黑">
    <w:altName w:val="黑体"/>
    <w:panose1 w:val="020B0503020204020204"/>
    <w:charset w:val="86"/>
    <w:family w:val="swiss"/>
    <w:pitch w:val="default"/>
    <w:sig w:usb0="00000000" w:usb1="00000000"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ArialUnicodeMS">
    <w:altName w:val="Adobe Myungjo Std M"/>
    <w:panose1 w:val="00000000000000000000"/>
    <w:charset w:val="81"/>
    <w:family w:val="auto"/>
    <w:pitch w:val="default"/>
    <w:sig w:usb0="00000000" w:usb1="00000000" w:usb2="00000010" w:usb3="00000000" w:csb0="00080001" w:csb1="00000000"/>
  </w:font>
  <w:font w:name="方正书宋_GBK">
    <w:altName w:val="方正楷体简体"/>
    <w:panose1 w:val="00000000000000000000"/>
    <w:charset w:val="86"/>
    <w:family w:val="auto"/>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Cambria">
    <w:panose1 w:val="02040503050406030204"/>
    <w:charset w:val="00"/>
    <w:family w:val="modern"/>
    <w:pitch w:val="default"/>
    <w:sig w:usb0="A00002EF" w:usb1="4000004B" w:usb2="00000000" w:usb3="00000000" w:csb0="2000009F"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Adobe Myungjo Std M"/>
    <w:panose1 w:val="00000000000000000000"/>
    <w:charset w:val="81"/>
    <w:family w:val="auto"/>
    <w:pitch w:val="default"/>
    <w:sig w:usb0="00000000" w:usb1="00000000" w:usb2="00000010" w:usb3="00000000" w:csb0="0008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Kozuka Mincho Pr6N R">
    <w:panose1 w:val="02020400000000000000"/>
    <w:charset w:val="80"/>
    <w:family w:val="auto"/>
    <w:pitch w:val="default"/>
    <w:sig w:usb0="000002D7" w:usb1="2AC71C11" w:usb2="00000012" w:usb3="00000000" w:csb0="2002009F" w:csb1="00000000"/>
  </w:font>
  <w:font w:name="Gulim">
    <w:panose1 w:val="020B0600000101010101"/>
    <w:charset w:val="81"/>
    <w:family w:val="auto"/>
    <w:pitch w:val="default"/>
    <w:sig w:usb0="B00002AF" w:usb1="69D77CFB" w:usb2="00000030" w:usb3="00000000" w:csb0="4008009F" w:csb1="DFD70000"/>
  </w:font>
  <w:font w:name="等线 Light">
    <w:altName w:val="Courier New"/>
    <w:panose1 w:val="00000000000000000000"/>
    <w:charset w:val="00"/>
    <w:family w:val="auto"/>
    <w:pitch w:val="default"/>
    <w:sig w:usb0="00000000" w:usb1="00000000" w:usb2="00000000" w:usb3="00000000" w:csb0="00000000" w:csb1="00000000"/>
  </w:font>
  <w:font w:name="Adobe Myungjo Std M">
    <w:panose1 w:val="02020600000000000000"/>
    <w:charset w:val="80"/>
    <w:family w:val="auto"/>
    <w:pitch w:val="default"/>
    <w:sig w:usb0="00000001" w:usb1="21D72C10" w:usb2="00000010" w:usb3="00000000" w:csb0="602A0005"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1E93"/>
    <w:rsid w:val="00086C89"/>
    <w:rsid w:val="000A39FB"/>
    <w:rsid w:val="00117746"/>
    <w:rsid w:val="00163F95"/>
    <w:rsid w:val="00180A9A"/>
    <w:rsid w:val="001829C0"/>
    <w:rsid w:val="00184809"/>
    <w:rsid w:val="00192112"/>
    <w:rsid w:val="001B0127"/>
    <w:rsid w:val="001C12D5"/>
    <w:rsid w:val="001C69F7"/>
    <w:rsid w:val="002650EC"/>
    <w:rsid w:val="002A6C46"/>
    <w:rsid w:val="002B027E"/>
    <w:rsid w:val="002C19B5"/>
    <w:rsid w:val="003A4EE8"/>
    <w:rsid w:val="003B350C"/>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85399"/>
    <w:rsid w:val="00691425"/>
    <w:rsid w:val="006A516E"/>
    <w:rsid w:val="006B0830"/>
    <w:rsid w:val="00716E2B"/>
    <w:rsid w:val="00770F18"/>
    <w:rsid w:val="00773B74"/>
    <w:rsid w:val="0078290C"/>
    <w:rsid w:val="007C06CA"/>
    <w:rsid w:val="008163FB"/>
    <w:rsid w:val="0082605B"/>
    <w:rsid w:val="00855C36"/>
    <w:rsid w:val="00857DBE"/>
    <w:rsid w:val="008701BC"/>
    <w:rsid w:val="00871174"/>
    <w:rsid w:val="00883D92"/>
    <w:rsid w:val="008A5362"/>
    <w:rsid w:val="008C47B5"/>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007BCC"/>
    <w:rsid w:val="0B281922"/>
    <w:rsid w:val="11685EF4"/>
    <w:rsid w:val="16C70A8D"/>
    <w:rsid w:val="24664B71"/>
    <w:rsid w:val="25CE3888"/>
    <w:rsid w:val="2A0B22E5"/>
    <w:rsid w:val="31C2036A"/>
    <w:rsid w:val="320D02A5"/>
    <w:rsid w:val="32276595"/>
    <w:rsid w:val="348E566F"/>
    <w:rsid w:val="39C804AF"/>
    <w:rsid w:val="3A226944"/>
    <w:rsid w:val="3AEE6A48"/>
    <w:rsid w:val="3C1620AA"/>
    <w:rsid w:val="3D8F080F"/>
    <w:rsid w:val="44CE1FA4"/>
    <w:rsid w:val="44F30333"/>
    <w:rsid w:val="487F73ED"/>
    <w:rsid w:val="4961356F"/>
    <w:rsid w:val="4A347EAE"/>
    <w:rsid w:val="4B7B6FD9"/>
    <w:rsid w:val="50683D77"/>
    <w:rsid w:val="52600405"/>
    <w:rsid w:val="529B4319"/>
    <w:rsid w:val="54A315B2"/>
    <w:rsid w:val="55821173"/>
    <w:rsid w:val="57773DD6"/>
    <w:rsid w:val="578B79AB"/>
    <w:rsid w:val="5CCD3FD5"/>
    <w:rsid w:val="61FA5F9D"/>
    <w:rsid w:val="64CD6910"/>
    <w:rsid w:val="65F26317"/>
    <w:rsid w:val="6700782A"/>
    <w:rsid w:val="6789158D"/>
    <w:rsid w:val="67D81BA4"/>
    <w:rsid w:val="6AAF1C96"/>
    <w:rsid w:val="6F2567F9"/>
    <w:rsid w:val="6F6B36DC"/>
    <w:rsid w:val="75681757"/>
    <w:rsid w:val="75A346A8"/>
    <w:rsid w:val="76204B76"/>
    <w:rsid w:val="76450818"/>
    <w:rsid w:val="79B9382C"/>
    <w:rsid w:val="7A2503BF"/>
    <w:rsid w:val="7B043B76"/>
    <w:rsid w:val="7B1721C7"/>
    <w:rsid w:val="7C041A6A"/>
    <w:rsid w:val="7E327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仿宋_GB2312" w:hAnsi="仿宋_GB2312" w:eastAsia="仿宋_GB2312" w:cs="仿宋_GB2312"/>
      <w:sz w:val="32"/>
      <w:szCs w:val="32"/>
      <w:lang w:val="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标题 2 Char"/>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10.emf"/><Relationship Id="rId42" Type="http://schemas.openxmlformats.org/officeDocument/2006/relationships/oleObject" Target="embeddings/oleObject9.bin"/><Relationship Id="rId41" Type="http://schemas.openxmlformats.org/officeDocument/2006/relationships/image" Target="media/image9.emf"/><Relationship Id="rId40" Type="http://schemas.openxmlformats.org/officeDocument/2006/relationships/oleObject" Target="embeddings/oleObject8.bin"/><Relationship Id="rId4" Type="http://schemas.openxmlformats.org/officeDocument/2006/relationships/header" Target="header2.xml"/><Relationship Id="rId39" Type="http://schemas.openxmlformats.org/officeDocument/2006/relationships/image" Target="media/image8.emf"/><Relationship Id="rId38" Type="http://schemas.openxmlformats.org/officeDocument/2006/relationships/oleObject" Target="embeddings/oleObject7.bin"/><Relationship Id="rId37" Type="http://schemas.openxmlformats.org/officeDocument/2006/relationships/image" Target="media/image7.emf"/><Relationship Id="rId36" Type="http://schemas.openxmlformats.org/officeDocument/2006/relationships/oleObject" Target="embeddings/oleObject6.bin"/><Relationship Id="rId35" Type="http://schemas.openxmlformats.org/officeDocument/2006/relationships/image" Target="media/image6.emf"/><Relationship Id="rId34" Type="http://schemas.openxmlformats.org/officeDocument/2006/relationships/oleObject" Target="embeddings/oleObject5.bin"/><Relationship Id="rId33" Type="http://schemas.openxmlformats.org/officeDocument/2006/relationships/image" Target="media/image5.emf"/><Relationship Id="rId32" Type="http://schemas.openxmlformats.org/officeDocument/2006/relationships/oleObject" Target="embeddings/oleObject4.bin"/><Relationship Id="rId31" Type="http://schemas.openxmlformats.org/officeDocument/2006/relationships/image" Target="media/image4.e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3.emf"/><Relationship Id="rId28" Type="http://schemas.openxmlformats.org/officeDocument/2006/relationships/oleObject" Target="embeddings/oleObject2.bin"/><Relationship Id="rId27" Type="http://schemas.openxmlformats.org/officeDocument/2006/relationships/image" Target="media/image2.emf"/><Relationship Id="rId26" Type="http://schemas.openxmlformats.org/officeDocument/2006/relationships/oleObject" Target="embeddings/oleObject1.bin"/><Relationship Id="rId25" Type="http://schemas.openxmlformats.org/officeDocument/2006/relationships/image" Target="media/image1.GIF"/><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53"/>
    <customShpInfo spid="_x0000_s1054"/>
    <customShpInfo spid="_x0000_s1052"/>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FDC74-5020-46E4-A7C9-A2D8C4803582}">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1669</Words>
  <Characters>9518</Characters>
  <Lines>79</Lines>
  <Paragraphs>22</Paragraphs>
  <TotalTime>4</TotalTime>
  <ScaleCrop>false</ScaleCrop>
  <LinksUpToDate>false</LinksUpToDate>
  <CharactersWithSpaces>11165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其他国</cp:lastModifiedBy>
  <cp:lastPrinted>2020-07-30T02:37:00Z</cp:lastPrinted>
  <dcterms:modified xsi:type="dcterms:W3CDTF">2020-09-02T09:24:38Z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